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For the transition period from _____ to _____</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001-39248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Starling Oncology, Inc.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84-3562323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18000 Studebaker Road, Suite 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90703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Cerritos,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(562) 735-3226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Oncology Institute,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512"/>
        <w:gridCol w:w="1961"/>
        <w:gridCol w:w="1985"/>
        <w:gridCol w:w="418"/>
        <w:gridCol w:w="418"/>
        <w:gridCol w:w="419"/>
        <w:gridCol w:w="728"/>
        <w:gridCol w:w="728"/>
        <w:gridCol w:w="1036"/>
      </w:tblGrid>
      <w:tr>
        <w:trPr/>
        <w:tc>
          <w:tcPr>
            <w:tcW w:w="251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4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STLN</w:t>
            </w:r>
          </w:p>
        </w:tc>
        <w:tc>
          <w:tcPr>
            <w:tcW w:w="24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Capital Market</w:t>
            </w:r>
          </w:p>
        </w:tc>
      </w:tr>
      <w:tr>
        <w:trPr/>
        <w:tc>
          <w:tcPr>
            <w:tcW w:w="64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Common stock, each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TOIIW</w:t>
            </w:r>
          </w:p>
        </w:tc>
        <w:tc>
          <w:tcPr>
            <w:tcW w:w="24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Capital Market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 </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4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4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left"/>
              <w:rPr>
                <w:color w:val="000000"/>
              </w:rPr>
            </w:pPr>
            <w:r>
              <w:rPr>
                <w:color w:val="000000"/>
              </w:rPr>
              <w:t>☐</w:t>
            </w:r>
          </w:p>
        </w:tc>
      </w:tr>
    </w:tbl>
    <w:p>
      <w:pPr>
        <w:pStyle w:val="TextBody"/>
        <w:bidi w:val="0"/>
        <w:spacing w:lineRule="auto" w:line="288" w:before="0" w:after="1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jc w:val="left"/>
        <w:rPr/>
      </w:pPr>
      <w:r>
        <w:rPr>
          <w:rFonts w:ascii="Times New Roman;serif" w:hAnsi="Times New Roman;serif"/>
          <w:b w:val="false"/>
          <w:color w:val="000000"/>
          <w:sz w:val="20"/>
        </w:rPr>
        <w:t>Indicate by check mark whether the registrant is a shell company (as defined in Rule 12b-2 of the Act).     Yes ☐   No  </w:t>
      </w:r>
      <w:r>
        <w:rPr>
          <w:color w:val="000000"/>
        </w:rPr>
        <w: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July 30, 2026, the registrant had 101,916,115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STARLING ONCOLOGY,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Period Ended June 30, 2026</w:t>
      </w:r>
    </w:p>
    <w:p>
      <w:pPr>
        <w:pStyle w:val="TextBody"/>
        <w:bidi w:val="0"/>
        <w:spacing w:before="0" w:after="0"/>
        <w:jc w:val="center"/>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568"/>
        <w:gridCol w:w="3045"/>
        <w:gridCol w:w="3050"/>
        <w:gridCol w:w="158"/>
        <w:gridCol w:w="158"/>
        <w:gridCol w:w="226"/>
      </w:tblGrid>
      <w:tr>
        <w:trPr/>
        <w:tc>
          <w:tcPr>
            <w:tcW w:w="3568"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d64bc8ac02ad409fa7efb8c6bc5527af_10">
              <w:r>
                <w:rPr>
                  <w:rStyle w:val="InternetLink"/>
                  <w:rFonts w:ascii="Times New Roman;serif" w:hAnsi="Times New Roman;serif"/>
                  <w:b w:val="false"/>
                  <w:color w:val="0000EE"/>
                  <w:sz w:val="20"/>
                  <w:u w:val="single"/>
                </w:rPr>
                <w:t>Part I – Financial Information</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d64bc8ac02ad409fa7efb8c6bc5527af_10">
              <w:r>
                <w:rPr>
                  <w:rStyle w:val="InternetLink"/>
                  <w:rFonts w:ascii="Times New Roman;serif" w:hAnsi="Times New Roman;serif"/>
                  <w:b w:val="false"/>
                  <w:color w:val="0000EE"/>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d64bc8ac02ad409fa7efb8c6bc5527af_13">
              <w:r>
                <w:rPr>
                  <w:rStyle w:val="InternetLink"/>
                  <w:rFonts w:ascii="Times New Roman;serif" w:hAnsi="Times New Roman;serif"/>
                  <w:b w:val="false"/>
                  <w:color w:val="0000EE"/>
                  <w:sz w:val="20"/>
                  <w:u w:val="single"/>
                </w:rPr>
                <w:t>Item 1.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3">
              <w:r>
                <w:rPr>
                  <w:rStyle w:val="InternetLink"/>
                  <w:rFonts w:ascii="Times New Roman;serif" w:hAnsi="Times New Roman;serif"/>
                  <w:b w:val="false"/>
                  <w:color w:val="0000EE"/>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6">
              <w:r>
                <w:rPr>
                  <w:rStyle w:val="InternetLink"/>
                  <w:rFonts w:ascii="Times New Roman;serif" w:hAnsi="Times New Roman;serif"/>
                  <w:b w:val="false"/>
                  <w:color w:val="000080"/>
                  <w:sz w:val="20"/>
                  <w:u w:val="single"/>
                </w:rPr>
                <w:t xml:space="preserve">Condensed Consolidated Balance Sheets as of </w:t>
              </w:r>
            </w:hyperlink>
            <w:hyperlink w:anchor="id64bc8ac02ad409fa7efb8c6bc5527af_16">
              <w:r>
                <w:rPr>
                  <w:rStyle w:val="InternetLink"/>
                  <w:rFonts w:ascii="Times New Roman;serif" w:hAnsi="Times New Roman;serif"/>
                  <w:b w:val="false"/>
                  <w:color w:val="000080"/>
                  <w:sz w:val="20"/>
                  <w:u w:val="single"/>
                </w:rPr>
                <w:t>June 30</w:t>
              </w:r>
            </w:hyperlink>
            <w:hyperlink w:anchor="id64bc8ac02ad409fa7efb8c6bc5527af_16">
              <w:r>
                <w:rPr>
                  <w:rStyle w:val="InternetLink"/>
                  <w:rFonts w:ascii="Times New Roman;serif" w:hAnsi="Times New Roman;serif"/>
                  <w:b w:val="false"/>
                  <w:color w:val="000080"/>
                  <w:sz w:val="20"/>
                  <w:u w:val="single"/>
                </w:rPr>
                <w:t>, 2026 and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6">
              <w:r>
                <w:rPr>
                  <w:rStyle w:val="InternetLink"/>
                  <w:rFonts w:ascii="Times New Roman;serif" w:hAnsi="Times New Roman;serif"/>
                  <w:b w:val="false"/>
                  <w:color w:val="0000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9">
              <w:r>
                <w:rPr>
                  <w:rStyle w:val="InternetLink"/>
                  <w:rFonts w:ascii="Times New Roman;serif" w:hAnsi="Times New Roman;serif"/>
                  <w:b w:val="false"/>
                  <w:color w:val="000080"/>
                  <w:sz w:val="20"/>
                  <w:u w:val="single"/>
                </w:rPr>
                <w:t>Condensed Consolidated Statements of Operations for the Three</w:t>
              </w:r>
            </w:hyperlink>
            <w:hyperlink w:anchor="id64bc8ac02ad409fa7efb8c6bc5527af_19">
              <w:r>
                <w:rPr>
                  <w:rStyle w:val="InternetLink"/>
                  <w:rFonts w:ascii="Times New Roman;serif" w:hAnsi="Times New Roman;serif"/>
                  <w:b w:val="false"/>
                  <w:color w:val="000080"/>
                  <w:sz w:val="20"/>
                  <w:u w:val="single"/>
                </w:rPr>
                <w:t xml:space="preserve"> and Six</w:t>
              </w:r>
            </w:hyperlink>
            <w:hyperlink w:anchor="id64bc8ac02ad409fa7efb8c6bc5527af_19">
              <w:r>
                <w:rPr>
                  <w:rStyle w:val="InternetLink"/>
                  <w:rFonts w:ascii="Times New Roman;serif" w:hAnsi="Times New Roman;serif"/>
                  <w:b w:val="false"/>
                  <w:color w:val="000080"/>
                  <w:sz w:val="20"/>
                  <w:u w:val="single"/>
                </w:rPr>
                <w:t xml:space="preserve"> Months Ended </w:t>
              </w:r>
            </w:hyperlink>
            <w:hyperlink w:anchor="id64bc8ac02ad409fa7efb8c6bc5527af_19">
              <w:r>
                <w:rPr>
                  <w:rStyle w:val="InternetLink"/>
                  <w:rFonts w:ascii="Times New Roman;serif" w:hAnsi="Times New Roman;serif"/>
                  <w:b w:val="false"/>
                  <w:color w:val="000080"/>
                  <w:sz w:val="20"/>
                  <w:u w:val="single"/>
                </w:rPr>
                <w:t>June 30</w:t>
              </w:r>
            </w:hyperlink>
            <w:hyperlink w:anchor="id64bc8ac02ad409fa7efb8c6bc5527af_19">
              <w:r>
                <w:rPr>
                  <w:rStyle w:val="InternetLink"/>
                  <w:rFonts w:ascii="Times New Roman;serif" w:hAnsi="Times New Roman;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9">
              <w:r>
                <w:rPr>
                  <w:rStyle w:val="InternetLink"/>
                  <w:rFonts w:ascii="Times New Roman;serif" w:hAnsi="Times New Roman;serif"/>
                  <w:b w:val="false"/>
                  <w:color w:val="0000FF"/>
                  <w:sz w:val="20"/>
                  <w:u w:val="singl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2">
              <w:r>
                <w:rPr>
                  <w:rStyle w:val="InternetLink"/>
                  <w:rFonts w:ascii="Times New Roman;serif" w:hAnsi="Times New Roman;serif"/>
                  <w:b w:val="false"/>
                  <w:color w:val="000080"/>
                  <w:sz w:val="20"/>
                  <w:u w:val="single"/>
                </w:rPr>
                <w:t>Condensed Consolidated Statements of Changes in Stockholders' Equity (Deficit) for the Three</w:t>
              </w:r>
            </w:hyperlink>
            <w:hyperlink w:anchor="id64bc8ac02ad409fa7efb8c6bc5527af_22">
              <w:r>
                <w:rPr>
                  <w:rStyle w:val="InternetLink"/>
                  <w:rFonts w:ascii="Times New Roman;serif" w:hAnsi="Times New Roman;serif"/>
                  <w:b w:val="false"/>
                  <w:color w:val="000080"/>
                  <w:sz w:val="20"/>
                  <w:u w:val="single"/>
                </w:rPr>
                <w:t xml:space="preserve"> and Six</w:t>
              </w:r>
            </w:hyperlink>
            <w:hyperlink w:anchor="id64bc8ac02ad409fa7efb8c6bc5527af_22">
              <w:r>
                <w:rPr>
                  <w:rStyle w:val="InternetLink"/>
                  <w:rFonts w:ascii="Times New Roman;serif" w:hAnsi="Times New Roman;serif"/>
                  <w:b w:val="false"/>
                  <w:color w:val="000080"/>
                  <w:sz w:val="20"/>
                  <w:u w:val="single"/>
                </w:rPr>
                <w:t xml:space="preserve"> Months Ended </w:t>
              </w:r>
            </w:hyperlink>
            <w:hyperlink w:anchor="id64bc8ac02ad409fa7efb8c6bc5527af_22">
              <w:r>
                <w:rPr>
                  <w:rStyle w:val="InternetLink"/>
                  <w:rFonts w:ascii="Times New Roman;serif" w:hAnsi="Times New Roman;serif"/>
                  <w:b w:val="false"/>
                  <w:color w:val="000080"/>
                  <w:sz w:val="20"/>
                  <w:u w:val="single"/>
                </w:rPr>
                <w:t>June 30</w:t>
              </w:r>
            </w:hyperlink>
            <w:hyperlink w:anchor="id64bc8ac02ad409fa7efb8c6bc5527af_22">
              <w:r>
                <w:rPr>
                  <w:rStyle w:val="InternetLink"/>
                  <w:rFonts w:ascii="Times New Roman;serif" w:hAnsi="Times New Roman;serif"/>
                  <w:b w:val="false"/>
                  <w:color w:val="000080"/>
                  <w:sz w:val="20"/>
                  <w:u w:val="single"/>
                </w:rPr>
                <w:t>, 2026 and 2025</w:t>
              </w:r>
            </w:hyperlink>
            <w:r>
              <w:rPr>
                <w:color w:val="000000"/>
              </w:rPr>
              <w:t xml:space="preserve">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2">
              <w:r>
                <w:rPr>
                  <w:rStyle w:val="InternetLink"/>
                  <w:rFonts w:ascii="Times New Roman;serif" w:hAnsi="Times New Roman;serif"/>
                  <w:b w:val="false"/>
                  <w:color w:val="0000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5">
              <w:r>
                <w:rPr>
                  <w:rStyle w:val="InternetLink"/>
                  <w:rFonts w:ascii="Times New Roman;serif" w:hAnsi="Times New Roman;serif"/>
                  <w:b w:val="false"/>
                  <w:color w:val="000080"/>
                  <w:sz w:val="20"/>
                  <w:u w:val="single"/>
                </w:rPr>
                <w:t xml:space="preserve">Condensed Consolidated Statements of Cash Flows for the </w:t>
              </w:r>
            </w:hyperlink>
            <w:hyperlink w:anchor="id64bc8ac02ad409fa7efb8c6bc5527af_25">
              <w:r>
                <w:rPr>
                  <w:rStyle w:val="InternetLink"/>
                  <w:rFonts w:ascii="Times New Roman;serif" w:hAnsi="Times New Roman;serif"/>
                  <w:b w:val="false"/>
                  <w:color w:val="000080"/>
                  <w:sz w:val="20"/>
                  <w:u w:val="single"/>
                </w:rPr>
                <w:t>Six</w:t>
              </w:r>
            </w:hyperlink>
            <w:hyperlink w:anchor="id64bc8ac02ad409fa7efb8c6bc5527af_25">
              <w:r>
                <w:rPr>
                  <w:rStyle w:val="InternetLink"/>
                  <w:rFonts w:ascii="Times New Roman;serif" w:hAnsi="Times New Roman;serif"/>
                  <w:b w:val="false"/>
                  <w:color w:val="000080"/>
                  <w:sz w:val="20"/>
                  <w:u w:val="single"/>
                </w:rPr>
                <w:t xml:space="preserve"> Months Ended </w:t>
              </w:r>
            </w:hyperlink>
            <w:hyperlink w:anchor="id64bc8ac02ad409fa7efb8c6bc5527af_25">
              <w:r>
                <w:rPr>
                  <w:rStyle w:val="InternetLink"/>
                  <w:rFonts w:ascii="Times New Roman;serif" w:hAnsi="Times New Roman;serif"/>
                  <w:b w:val="false"/>
                  <w:color w:val="000080"/>
                  <w:sz w:val="20"/>
                  <w:u w:val="single"/>
                </w:rPr>
                <w:t>June 30</w:t>
              </w:r>
            </w:hyperlink>
            <w:hyperlink w:anchor="id64bc8ac02ad409fa7efb8c6bc5527af_25">
              <w:r>
                <w:rPr>
                  <w:rStyle w:val="InternetLink"/>
                  <w:rFonts w:ascii="Times New Roman;serif" w:hAnsi="Times New Roman;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5">
              <w:r>
                <w:rPr>
                  <w:rStyle w:val="InternetLink"/>
                  <w:rFonts w:ascii="Times New Roman;serif" w:hAnsi="Times New Roman;serif"/>
                  <w:b w:val="false"/>
                  <w:color w:val="0000FF"/>
                  <w:sz w:val="20"/>
                  <w:u w:val="single"/>
                </w:rPr>
                <w:t>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8">
              <w:r>
                <w:rPr>
                  <w:rStyle w:val="InternetLink"/>
                  <w:rFonts w:ascii="Times New Roman;serif" w:hAnsi="Times New Roman;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28">
              <w:r>
                <w:rPr>
                  <w:rStyle w:val="InternetLink"/>
                  <w:rFonts w:ascii="Times New Roman;serif" w:hAnsi="Times New Roman;serif"/>
                  <w:b w:val="false"/>
                  <w:color w:val="0000FF"/>
                  <w:sz w:val="20"/>
                  <w:u w:val="single"/>
                </w:rPr>
                <w:t>10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91">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91">
              <w:r>
                <w:rPr>
                  <w:rStyle w:val="InternetLink"/>
                  <w:rFonts w:ascii="Times New Roman;serif" w:hAnsi="Times New Roman;serif"/>
                  <w:b w:val="false"/>
                  <w:color w:val="0000EE"/>
                  <w:sz w:val="20"/>
                  <w:u w:val="single"/>
                </w:rPr>
                <w:t>38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21">
              <w:r>
                <w:rPr>
                  <w:rStyle w:val="InternetLink"/>
                  <w:rFonts w:ascii="Times New Roman;serif" w:hAnsi="Times New Roman;serif"/>
                  <w:b w:val="false"/>
                  <w:color w:val="0000EE"/>
                  <w:sz w:val="20"/>
                  <w:u w:val="single"/>
                </w:rPr>
                <w:t>Item 3. 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21">
              <w:r>
                <w:rPr>
                  <w:rStyle w:val="InternetLink"/>
                  <w:rFonts w:ascii="Times New Roman;serif" w:hAnsi="Times New Roman;serif"/>
                  <w:b w:val="false"/>
                  <w:color w:val="0000EE"/>
                  <w:sz w:val="20"/>
                  <w:u w:val="single"/>
                </w:rPr>
                <w:t>49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24">
              <w:r>
                <w:rPr>
                  <w:rStyle w:val="InternetLink"/>
                  <w:rFonts w:ascii="Times New Roman;serif" w:hAnsi="Times New Roman;serif"/>
                  <w:b w:val="false"/>
                  <w:color w:val="0000EE"/>
                  <w:sz w:val="20"/>
                  <w:u w:val="single"/>
                </w:rPr>
                <w:t>Item 4. Controls and Procedures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24">
              <w:r>
                <w:rPr>
                  <w:rStyle w:val="InternetLink"/>
                  <w:rFonts w:ascii="Times New Roman;serif" w:hAnsi="Times New Roman;serif"/>
                  <w:b w:val="false"/>
                  <w:color w:val="0000EE"/>
                  <w:sz w:val="20"/>
                  <w:u w:val="single"/>
                </w:rPr>
                <w:t>50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d64bc8ac02ad409fa7efb8c6bc5527af_127">
              <w:r>
                <w:rPr>
                  <w:rStyle w:val="InternetLink"/>
                  <w:rFonts w:ascii="Times New Roman;serif" w:hAnsi="Times New Roman;serif"/>
                  <w:b w:val="false"/>
                  <w:color w:val="0000EE"/>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27">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30">
              <w:r>
                <w:rPr>
                  <w:rStyle w:val="InternetLink"/>
                  <w:rFonts w:ascii="Times New Roman;serif" w:hAnsi="Times New Roman;serif"/>
                  <w:b w:val="false"/>
                  <w:color w:val="0000EE"/>
                  <w:sz w:val="20"/>
                  <w:u w:val="single"/>
                </w:rPr>
                <w:t>Item 1. 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33">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33">
              <w:r>
                <w:rPr>
                  <w:rStyle w:val="InternetLink"/>
                  <w:rFonts w:ascii="Times New Roman;serif" w:hAnsi="Times New Roman;serif"/>
                  <w:b w:val="false"/>
                  <w:color w:val="0000EE"/>
                  <w:sz w:val="20"/>
                  <w:u w:val="single"/>
                </w:rPr>
                <w:t>Item 1A.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36">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36">
              <w:r>
                <w:rPr>
                  <w:rStyle w:val="InternetLink"/>
                  <w:rFonts w:ascii="Times New Roman;serif" w:hAnsi="Times New Roman;serif"/>
                  <w:b w:val="false"/>
                  <w:color w:val="0000EE"/>
                  <w:sz w:val="20"/>
                  <w:u w:val="single"/>
                </w:rPr>
                <w:t>Item 2. Unregistered Sales of Equity Securities and Use of Proceeds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36">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39">
              <w:r>
                <w:rPr>
                  <w:rStyle w:val="InternetLink"/>
                  <w:rFonts w:ascii="Times New Roman;serif" w:hAnsi="Times New Roman;serif"/>
                  <w:b w:val="false"/>
                  <w:color w:val="0000EE"/>
                  <w:sz w:val="20"/>
                  <w:u w:val="single"/>
                </w:rPr>
                <w:t>Item 3. 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39">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42">
              <w:r>
                <w:rPr>
                  <w:rStyle w:val="InternetLink"/>
                  <w:rFonts w:ascii="Times New Roman;serif" w:hAnsi="Times New Roman;serif"/>
                  <w:b w:val="false"/>
                  <w:color w:val="0000EE"/>
                  <w:sz w:val="20"/>
                  <w:u w:val="single"/>
                </w:rPr>
                <w:t>Item 4. Mine Safety Disclosures </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42">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45">
              <w:r>
                <w:rPr>
                  <w:rStyle w:val="InternetLink"/>
                  <w:rFonts w:ascii="Times New Roman;serif" w:hAnsi="Times New Roman;serif"/>
                  <w:b w:val="false"/>
                  <w:color w:val="0000EE"/>
                  <w:sz w:val="20"/>
                  <w:u w:val="single"/>
                </w:rPr>
                <w:t>Item 5.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45">
              <w:r>
                <w:rPr>
                  <w:rStyle w:val="InternetLink"/>
                  <w:rFonts w:ascii="Times New Roman;serif" w:hAnsi="Times New Roman;serif"/>
                  <w:b w:val="false"/>
                  <w:color w:val="0000EE"/>
                  <w:sz w:val="20"/>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hyperlink w:anchor="id64bc8ac02ad409fa7efb8c6bc5527af_151">
              <w:r>
                <w:rPr>
                  <w:rStyle w:val="InternetLink"/>
                  <w:rFonts w:ascii="Times New Roman;serif" w:hAnsi="Times New Roman;serif"/>
                  <w:b w:val="false"/>
                  <w:color w:val="0000EE"/>
                  <w:sz w:val="20"/>
                  <w:u w:val="single"/>
                </w:rPr>
                <w:t>Item 6. 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51">
              <w:r>
                <w:rPr>
                  <w:rStyle w:val="InternetLink"/>
                  <w:rFonts w:ascii="Times New Roman;serif" w:hAnsi="Times New Roman;serif"/>
                  <w:b w:val="false"/>
                  <w:color w:val="0000EE"/>
                  <w:sz w:val="20"/>
                  <w:u w:val="single"/>
                </w:rPr>
                <w:t>52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d64bc8ac02ad409fa7efb8c6bc5527af_154">
              <w:r>
                <w:rPr>
                  <w:rStyle w:val="InternetLink"/>
                  <w:rFonts w:ascii="Times New Roman;serif" w:hAnsi="Times New Roman;serif"/>
                  <w:b w:val="false"/>
                  <w:color w:val="0000EE"/>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c8ac02ad409fa7efb8c6bc5527af_154">
              <w:r>
                <w:rPr>
                  <w:rStyle w:val="InternetLink"/>
                  <w:rFonts w:ascii="Times New Roman;serif" w:hAnsi="Times New Roman;serif"/>
                  <w:b w:val="false"/>
                  <w:color w:val="0000EE"/>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646"/>
        <w:gridCol w:w="2179"/>
        <w:gridCol w:w="2119"/>
        <w:gridCol w:w="250"/>
        <w:gridCol w:w="980"/>
        <w:gridCol w:w="129"/>
        <w:gridCol w:w="129"/>
        <w:gridCol w:w="129"/>
        <w:gridCol w:w="129"/>
        <w:gridCol w:w="250"/>
        <w:gridCol w:w="980"/>
        <w:gridCol w:w="129"/>
        <w:gridCol w:w="156"/>
      </w:tblGrid>
      <w:tr>
        <w:trPr/>
        <w:tc>
          <w:tcPr>
            <w:tcW w:w="264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STARLING ONCOLOGY, INC.</w:t>
            </w:r>
          </w:p>
          <w:p>
            <w:pPr>
              <w:pStyle w:val="TableContents"/>
              <w:bidi w:val="0"/>
              <w:spacing w:lineRule="auto" w:line="288" w:before="0" w:after="9"/>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ableContents"/>
              <w:bidi w:val="0"/>
              <w:spacing w:lineRule="auto" w:line="288" w:before="0" w:after="9"/>
              <w:jc w:val="center"/>
              <w:rPr>
                <w:rFonts w:ascii="Times New Roman;serif" w:hAnsi="Times New Roman;serif"/>
                <w:b/>
                <w:color w:val="231F20"/>
                <w:sz w:val="20"/>
              </w:rPr>
            </w:pPr>
            <w:r>
              <w:rPr>
                <w:rFonts w:ascii="Times New Roman;serif" w:hAnsi="Times New Roman;serif"/>
                <w:b/>
                <w:color w:val="231F20"/>
                <w:sz w:val="20"/>
              </w:rPr>
              <w:t>(US Dollars in thousands, except share data)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112,747 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178,233 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deficit</w:t>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94,939 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70,962 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203,147 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180,376 </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$0.0001 par value, authorized 500,000,000 shares; 102,202,753 shares issued and 100,468,979</w:t>
            </w:r>
            <w:r>
              <w:rPr>
                <w:color w:val="231F20"/>
              </w:rPr>
              <w:t xml:space="preserve"> </w:t>
            </w:r>
            <w:r>
              <w:rPr>
                <w:rFonts w:ascii="Times New Roman;serif" w:hAnsi="Times New Roman;serif"/>
                <w:b w:val="false"/>
                <w:color w:val="231F20"/>
                <w:sz w:val="20"/>
              </w:rPr>
              <w:t>shares</w:t>
            </w:r>
            <w:r>
              <w:rPr>
                <w:color w:val="000000"/>
              </w:rPr>
              <w:t xml:space="preserve"> </w:t>
            </w:r>
            <w:r>
              <w:rPr>
                <w:rFonts w:ascii="Times New Roman;serif" w:hAnsi="Times New Roman;serif"/>
                <w:b w:val="false"/>
                <w:color w:val="000000"/>
                <w:sz w:val="20"/>
              </w:rPr>
              <w:t xml:space="preserve">outstanding at June 30, 2026 and </w:t>
            </w:r>
            <w:r>
              <w:rPr>
                <w:rFonts w:ascii="Times New Roman;serif" w:hAnsi="Times New Roman;serif"/>
                <w:b w:val="false"/>
                <w:color w:val="231F20"/>
                <w:sz w:val="20"/>
              </w:rPr>
              <w:t>100,596,918</w:t>
            </w:r>
            <w:r>
              <w:rPr>
                <w:color w:val="000000"/>
              </w:rPr>
              <w:t xml:space="preserve"> </w:t>
            </w:r>
            <w:r>
              <w:rPr>
                <w:rFonts w:ascii="Times New Roman;serif" w:hAnsi="Times New Roman;serif"/>
                <w:b w:val="false"/>
                <w:color w:val="000000"/>
                <w:sz w:val="20"/>
              </w:rPr>
              <w:t>shares issued and 98,863,144 shares outstanding at December 31, 2025</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$0.0001 par value, authorized 10,000,000 shares; 193,507 shares issued and outstanding at June 30, 2026 and December 31, 2025</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259,795 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256,708 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Treasury Stock at cost, 1,733,774 shares at June 30, 2026 and December 31, 2025</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(271,419)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(24,914)</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(15,720)</w:t>
            </w:r>
          </w:p>
        </w:tc>
        <w:tc>
          <w:tcPr>
            <w:tcW w:w="12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76"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STARLING ONCOLOGY, INC.</w:t>
      </w:r>
    </w:p>
    <w:p>
      <w:pPr>
        <w:pStyle w:val="TextBody"/>
        <w:bidi w:val="0"/>
        <w:spacing w:lineRule="auto" w:line="276" w:before="0" w:after="9"/>
        <w:jc w:val="center"/>
        <w:rPr>
          <w:rFonts w:ascii="Times New Roman;serif" w:hAnsi="Times New Roman;serif"/>
          <w:b/>
          <w:color w:val="231F20"/>
          <w:sz w:val="20"/>
        </w:rPr>
      </w:pPr>
      <w:r>
        <w:rPr>
          <w:rFonts w:ascii="Times New Roman;serif" w:hAnsi="Times New Roman;serif"/>
          <w:b/>
          <w:color w:val="231F20"/>
          <w:sz w:val="20"/>
        </w:rPr>
        <w:t>CONDENSED CONSOLIDATED STATEMENTS OF OPERATIONS</w:t>
      </w:r>
    </w:p>
    <w:p>
      <w:pPr>
        <w:pStyle w:val="TextBody"/>
        <w:bidi w:val="0"/>
        <w:spacing w:lineRule="auto" w:line="276" w:before="0" w:after="9"/>
        <w:jc w:val="center"/>
        <w:rPr>
          <w:rFonts w:ascii="Times New Roman;serif" w:hAnsi="Times New Roman;serif"/>
          <w:b/>
          <w:color w:val="231F20"/>
          <w:sz w:val="20"/>
        </w:rPr>
      </w:pPr>
      <w:r>
        <w:rPr>
          <w:rFonts w:ascii="Times New Roman;serif" w:hAnsi="Times New Roman;serif"/>
          <w:b/>
          <w:color w:val="231F20"/>
          <w:sz w:val="20"/>
        </w:rPr>
        <w:t>(US Dollars in thousands, except share data)</w:t>
      </w:r>
    </w:p>
    <w:p>
      <w:pPr>
        <w:pStyle w:val="TextBody"/>
        <w:bidi w:val="0"/>
        <w:spacing w:lineRule="auto" w:line="276" w:before="0" w:after="240"/>
        <w:jc w:val="center"/>
        <w:rPr>
          <w:rFonts w:ascii="Times New Roman;serif" w:hAnsi="Times New Roman;serif"/>
          <w:b/>
          <w:color w:val="231F20"/>
          <w:sz w:val="20"/>
        </w:rPr>
      </w:pPr>
      <w:r>
        <w:rPr>
          <w:rFonts w:ascii="Times New Roman;serif" w:hAnsi="Times New Roman;serif"/>
          <w:b/>
          <w:color w:val="231F20"/>
          <w:sz w:val="20"/>
        </w:rPr>
        <w:t>(Unaudited)</w:t>
      </w:r>
    </w:p>
    <w:tbl>
      <w:tblPr>
        <w:tblW w:w="10205" w:type="dxa"/>
        <w:jc w:val="left"/>
        <w:tblInd w:w="0" w:type="dxa"/>
        <w:tblLayout w:type="fixed"/>
        <w:tblCellMar>
          <w:top w:w="28" w:type="dxa"/>
          <w:left w:w="28" w:type="dxa"/>
          <w:bottom w:w="28" w:type="dxa"/>
          <w:right w:w="28" w:type="dxa"/>
        </w:tblCellMar>
      </w:tblPr>
      <w:tblGrid>
        <w:gridCol w:w="1721"/>
        <w:gridCol w:w="1426"/>
        <w:gridCol w:w="1430"/>
        <w:gridCol w:w="231"/>
        <w:gridCol w:w="790"/>
        <w:gridCol w:w="120"/>
        <w:gridCol w:w="113"/>
        <w:gridCol w:w="113"/>
        <w:gridCol w:w="113"/>
        <w:gridCol w:w="220"/>
        <w:gridCol w:w="819"/>
        <w:gridCol w:w="113"/>
        <w:gridCol w:w="109"/>
        <w:gridCol w:w="109"/>
        <w:gridCol w:w="109"/>
        <w:gridCol w:w="211"/>
        <w:gridCol w:w="826"/>
        <w:gridCol w:w="109"/>
        <w:gridCol w:w="109"/>
        <w:gridCol w:w="109"/>
        <w:gridCol w:w="109"/>
        <w:gridCol w:w="211"/>
        <w:gridCol w:w="826"/>
        <w:gridCol w:w="159"/>
      </w:tblGrid>
      <w:tr>
        <w:trPr/>
        <w:tc>
          <w:tcPr>
            <w:tcW w:w="17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108,959 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111,866 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revenue</w:t>
            </w:r>
          </w:p>
        </w:tc>
        <w:tc>
          <w:tcPr>
            <w:tcW w:w="10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161,282 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119,802 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308,723 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224,208 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98,230 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90,949 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165,898 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131,013 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319,852 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245,330 </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(11,211)</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(21,122)</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non-operating expense (income) </w:t>
            </w:r>
          </w:p>
        </w:tc>
        <w:tc>
          <w:tcPr>
            <w:tcW w:w="10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15,603 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2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(17,140)</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(36,725)</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(17,009)</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(36,594)</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(8,241)</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(30,072)</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09" w:type="dxa"/>
            <w:gridSpan w:val="12"/>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09" w:type="dxa"/>
            <w:gridSpan w:val="12"/>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103,031,493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93,203,665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102,419,949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85,195,734</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103,031,493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93,203,665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102,419,949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85,195,734</w:t>
            </w:r>
          </w:p>
        </w:tc>
      </w:tr>
    </w:tbl>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STARLING ONCOLOGY,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CHANGES IN STOCKHOLDERS’ EQUITY (DEFICIT)</w:t>
      </w:r>
    </w:p>
    <w:p>
      <w:pPr>
        <w:pStyle w:val="TextBody"/>
        <w:bidi w:val="0"/>
        <w:spacing w:lineRule="auto" w:line="276" w:before="0" w:after="0"/>
        <w:jc w:val="center"/>
        <w:rPr>
          <w:rFonts w:ascii="Times New Roman;serif" w:hAnsi="Times New Roman;serif"/>
          <w:b/>
          <w:color w:val="231F20"/>
          <w:sz w:val="20"/>
        </w:rPr>
      </w:pPr>
      <w:r>
        <w:rPr>
          <w:rFonts w:ascii="Times New Roman;serif" w:hAnsi="Times New Roman;serif"/>
          <w:b/>
          <w:color w:val="231F20"/>
          <w:sz w:val="20"/>
        </w:rPr>
        <w:t>(US Dollars in thousands, except share and per share data)</w:t>
      </w:r>
    </w:p>
    <w:p>
      <w:pPr>
        <w:pStyle w:val="TextBody"/>
        <w:bidi w:val="0"/>
        <w:spacing w:lineRule="auto" w:line="276" w:before="0" w:after="240"/>
        <w:jc w:val="center"/>
        <w:rPr>
          <w:rFonts w:ascii="Times New Roman;serif" w:hAnsi="Times New Roman;serif"/>
          <w:b/>
          <w:color w:val="231F20"/>
          <w:sz w:val="20"/>
        </w:rPr>
      </w:pPr>
      <w:r>
        <w:rPr>
          <w:rFonts w:ascii="Times New Roman;serif" w:hAnsi="Times New Roman;serif"/>
          <w:b/>
          <w:color w:val="231F20"/>
          <w:sz w:val="20"/>
        </w:rPr>
        <w:t>(Unaudited)</w:t>
      </w:r>
    </w:p>
    <w:p>
      <w:pPr>
        <w:pStyle w:val="TextBody"/>
        <w:bidi w:val="0"/>
        <w:spacing w:before="0" w:after="240"/>
        <w:jc w:val="center"/>
        <w:rPr/>
      </w:pPr>
      <w:r>
        <w:rPr/>
      </w:r>
    </w:p>
    <w:tbl>
      <w:tblPr>
        <w:tblW w:w="11250" w:type="dxa"/>
        <w:jc w:val="center"/>
        <w:tblInd w:w="0" w:type="dxa"/>
        <w:tblLayout w:type="fixed"/>
        <w:tblCellMar>
          <w:top w:w="28" w:type="dxa"/>
          <w:left w:w="28" w:type="dxa"/>
          <w:bottom w:w="28" w:type="dxa"/>
          <w:right w:w="28" w:type="dxa"/>
        </w:tblCellMar>
      </w:tblPr>
      <w:tblGrid>
        <w:gridCol w:w="544"/>
        <w:gridCol w:w="268"/>
        <w:gridCol w:w="269"/>
        <w:gridCol w:w="480"/>
        <w:gridCol w:w="481"/>
        <w:gridCol w:w="211"/>
        <w:gridCol w:w="109"/>
        <w:gridCol w:w="109"/>
        <w:gridCol w:w="109"/>
        <w:gridCol w:w="269"/>
        <w:gridCol w:w="331"/>
        <w:gridCol w:w="151"/>
        <w:gridCol w:w="109"/>
        <w:gridCol w:w="109"/>
        <w:gridCol w:w="109"/>
        <w:gridCol w:w="368"/>
        <w:gridCol w:w="368"/>
        <w:gridCol w:w="211"/>
        <w:gridCol w:w="109"/>
        <w:gridCol w:w="109"/>
        <w:gridCol w:w="109"/>
        <w:gridCol w:w="207"/>
        <w:gridCol w:w="428"/>
        <w:gridCol w:w="116"/>
        <w:gridCol w:w="109"/>
        <w:gridCol w:w="109"/>
        <w:gridCol w:w="109"/>
        <w:gridCol w:w="196"/>
        <w:gridCol w:w="571"/>
        <w:gridCol w:w="109"/>
        <w:gridCol w:w="109"/>
        <w:gridCol w:w="109"/>
        <w:gridCol w:w="109"/>
        <w:gridCol w:w="196"/>
        <w:gridCol w:w="736"/>
        <w:gridCol w:w="109"/>
        <w:gridCol w:w="109"/>
        <w:gridCol w:w="109"/>
        <w:gridCol w:w="109"/>
        <w:gridCol w:w="208"/>
        <w:gridCol w:w="800"/>
        <w:gridCol w:w="118"/>
        <w:gridCol w:w="109"/>
        <w:gridCol w:w="109"/>
        <w:gridCol w:w="109"/>
        <w:gridCol w:w="258"/>
        <w:gridCol w:w="753"/>
        <w:gridCol w:w="205"/>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77,470,886 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(210,813)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private placement,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12,006,510 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upon exchange of debt for equity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90,661,800 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2,484,480 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preferred stock to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95,013,596 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(247,407)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1340" w:type="dxa"/>
        <w:jc w:val="center"/>
        <w:tblInd w:w="0" w:type="dxa"/>
        <w:tblLayout w:type="fixed"/>
        <w:tblCellMar>
          <w:top w:w="28" w:type="dxa"/>
          <w:left w:w="28" w:type="dxa"/>
          <w:bottom w:w="28" w:type="dxa"/>
          <w:right w:w="28" w:type="dxa"/>
        </w:tblCellMar>
      </w:tblPr>
      <w:tblGrid>
        <w:gridCol w:w="544"/>
        <w:gridCol w:w="268"/>
        <w:gridCol w:w="269"/>
        <w:gridCol w:w="525"/>
        <w:gridCol w:w="526"/>
        <w:gridCol w:w="211"/>
        <w:gridCol w:w="109"/>
        <w:gridCol w:w="109"/>
        <w:gridCol w:w="109"/>
        <w:gridCol w:w="231"/>
        <w:gridCol w:w="390"/>
        <w:gridCol w:w="130"/>
        <w:gridCol w:w="109"/>
        <w:gridCol w:w="109"/>
        <w:gridCol w:w="109"/>
        <w:gridCol w:w="368"/>
        <w:gridCol w:w="368"/>
        <w:gridCol w:w="211"/>
        <w:gridCol w:w="109"/>
        <w:gridCol w:w="109"/>
        <w:gridCol w:w="109"/>
        <w:gridCol w:w="207"/>
        <w:gridCol w:w="428"/>
        <w:gridCol w:w="116"/>
        <w:gridCol w:w="109"/>
        <w:gridCol w:w="109"/>
        <w:gridCol w:w="109"/>
        <w:gridCol w:w="196"/>
        <w:gridCol w:w="571"/>
        <w:gridCol w:w="109"/>
        <w:gridCol w:w="109"/>
        <w:gridCol w:w="109"/>
        <w:gridCol w:w="109"/>
        <w:gridCol w:w="196"/>
        <w:gridCol w:w="736"/>
        <w:gridCol w:w="109"/>
        <w:gridCol w:w="109"/>
        <w:gridCol w:w="109"/>
        <w:gridCol w:w="109"/>
        <w:gridCol w:w="208"/>
        <w:gridCol w:w="800"/>
        <w:gridCol w:w="118"/>
        <w:gridCol w:w="109"/>
        <w:gridCol w:w="109"/>
        <w:gridCol w:w="109"/>
        <w:gridCol w:w="235"/>
        <w:gridCol w:w="795"/>
        <w:gridCol w:w="186"/>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100,596,918 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1,000,918 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issuances through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101,707,558 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(273,911)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102,202,753 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0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72"/>
        <w:gridCol w:w="1687"/>
        <w:gridCol w:w="1693"/>
        <w:gridCol w:w="394"/>
        <w:gridCol w:w="1480"/>
        <w:gridCol w:w="203"/>
        <w:gridCol w:w="203"/>
        <w:gridCol w:w="203"/>
        <w:gridCol w:w="203"/>
        <w:gridCol w:w="394"/>
        <w:gridCol w:w="1480"/>
        <w:gridCol w:w="293"/>
      </w:tblGrid>
      <w:tr>
        <w:trPr/>
        <w:tc>
          <w:tcPr>
            <w:tcW w:w="197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STARLING ONCOLOGY, INC.</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(US Dollars in thousands)</w:t>
            </w:r>
          </w:p>
          <w:p>
            <w:pPr>
              <w:pStyle w:val="TableContents"/>
              <w:bidi w:val="0"/>
              <w:spacing w:lineRule="auto" w:line="288" w:before="0" w:after="240"/>
              <w:jc w:val="center"/>
              <w:rPr>
                <w:rFonts w:ascii="Times New Roman;serif" w:hAnsi="Times New Roman;serif"/>
                <w:b/>
                <w:color w:val="231F20"/>
                <w:sz w:val="20"/>
              </w:rPr>
            </w:pPr>
            <w:r>
              <w:rPr>
                <w:rFonts w:ascii="Times New Roman;serif" w:hAnsi="Times New Roman;serif"/>
                <w:b/>
                <w:color w:val="231F20"/>
                <w:sz w:val="20"/>
              </w:rPr>
              <w:t>(Unaudited)</w:t>
            </w:r>
          </w:p>
        </w:tc>
      </w:tr>
      <w:tr>
        <w:trPr/>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operating activities:</w:t>
            </w:r>
          </w:p>
        </w:tc>
        <w:tc>
          <w:tcPr>
            <w:tcW w:w="2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94"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(12,281)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(36,594)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64" w:before="0" w:after="283"/>
              <w:ind w:left="0" w:right="0" w:hanging="144"/>
              <w:jc w:val="left"/>
              <w:rPr>
                <w:rFonts w:ascii="Times New Roman;serif" w:hAnsi="Times New Roman;serif"/>
                <w:b w:val="false"/>
                <w:color w:val="231F20"/>
                <w:sz w:val="20"/>
              </w:rPr>
            </w:pPr>
            <w:r>
              <w:rPr>
                <w:rFonts w:ascii="Times New Roman;serif" w:hAnsi="Times New Roman;serif"/>
                <w:b w:val="false"/>
                <w:color w:val="231F20"/>
                <w:sz w:val="20"/>
              </w:rPr>
              <w:t>Adjustments to reconcile net loss to cash and cash equivalents used in operating activities:</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Depreciation and amortization</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3,454 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3,589 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Amortization of debt issuance costs and debt discount</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2,467 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6,003 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Write-off of assets from clinical trials segment</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2,398 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Share-based compensation</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2,756 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2,210 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liability classified warrants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liability classified conversion option derivatives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(1,753)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7,296 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Loss on disposal of property and equipment</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operating assets and liabilities:</w:t>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(7,351)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(8,969)</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receivables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(228)</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Inventories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(3,136)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(5,747)</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1,811 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assets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(51)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17,112 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11,490 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operating leases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(120)</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Accrued expenses and other current liabilities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7,353 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2,262 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liabilities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(97)</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Net cash and cash equivalents provided by (used in) operating activities</w:t>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9,725 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(15,190)</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investing activities:</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Purchases of property and equipment</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(1,536)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asset disposition</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000000"/>
                <w:sz w:val="18"/>
              </w:rPr>
            </w:pPr>
            <w:r>
              <w:rPr>
                <w:rFonts w:ascii="Times New Roman;serif" w:hAnsi="Times New Roman;serif"/>
                <w:b/>
                <w:color w:val="000000"/>
                <w:sz w:val="18"/>
              </w:rPr>
              <w:t>Net cash and cash equivalents used in investing activities</w:t>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(1,950)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(1,410)</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Cash flows from financing activities:</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private placement, net of offering costs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15,359 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Proceeds from employee stock purchase plan</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Payments made for financing of insurance payments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(560)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(456)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payments on long-term debt</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color w:val="231F20"/>
              </w:rPr>
            </w:pPr>
            <w:r>
              <w:rPr>
                <w:color w:val="231F2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(20,000)</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payments on financing leases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Common stock issued for options exercised</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2,340 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Net cash and cash equivalents used in financing activities</w:t>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(246)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(2,777)</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increase (decrease) in cash and cash equivalents</w:t>
            </w:r>
          </w:p>
        </w:tc>
        <w:tc>
          <w:tcPr>
            <w:tcW w:w="1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7,529 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(19,377)</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Cash and cash equivalents at beginning of period</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33,565 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49,669 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Cash and cash equivalents at end of period</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41,094 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30,292 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Supplemental disclosure of noncash investing and financing activities:</w:t>
            </w:r>
          </w:p>
        </w:tc>
        <w:tc>
          <w:tcPr>
            <w:tcW w:w="2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in connection with operating lease modifications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Principal exchange of convertible note for preferred stock</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4,111 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Purchases of property and equipment included in accounts payable</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Financed insurance premiums</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Supplemental disclosure of cash flow information:</w:t>
            </w:r>
          </w:p>
        </w:tc>
        <w:tc>
          <w:tcPr>
            <w:tcW w:w="2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Cash paid for:</w:t>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taxes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231F20"/>
          <w:sz w:val="20"/>
        </w:rPr>
      </w:pPr>
      <w:r>
        <w:rPr>
          <w:rFonts w:ascii="Times New Roman;serif" w:hAnsi="Times New Roman;serif"/>
          <w:b/>
          <w:color w:val="231F20"/>
          <w:sz w:val="20"/>
        </w:rPr>
        <w:t>STARLING ONCOLOGY, INC.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NOTES TO CONDENSED CONSOLIDATED FINANCIAL STATEMENTS (UNAUDITED)</w:t>
      </w:r>
    </w:p>
    <w:p>
      <w:pPr>
        <w:pStyle w:val="TextBody"/>
        <w:bidi w:val="0"/>
        <w:spacing w:lineRule="auto" w:line="288" w:before="0" w:after="0"/>
        <w:jc w:val="center"/>
        <w:rPr/>
      </w:pPr>
      <w:r>
        <w:rPr>
          <w:rFonts w:ascii="Times New Roman;serif" w:hAnsi="Times New Roman;serif"/>
          <w:b/>
          <w:color w:val="231F20"/>
          <w:sz w:val="20"/>
        </w:rPr>
        <w:t>As of June 30, 2026 and December 31, 2025, and for the three and six</w:t>
      </w:r>
      <w:r>
        <w:rPr>
          <w:color w:val="000000"/>
        </w:rPr>
        <w:t xml:space="preserve"> </w:t>
      </w:r>
      <w:r>
        <w:rPr>
          <w:rFonts w:ascii="Times New Roman;serif" w:hAnsi="Times New Roman;serif"/>
          <w:b/>
          <w:color w:val="000000"/>
          <w:sz w:val="20"/>
        </w:rPr>
        <w:t xml:space="preserve">months ended </w:t>
      </w:r>
      <w:r>
        <w:rPr>
          <w:rFonts w:ascii="Times New Roman;serif" w:hAnsi="Times New Roman;serif"/>
          <w:b/>
          <w:color w:val="231F20"/>
          <w:sz w:val="20"/>
        </w:rPr>
        <w:t>June 30, 2026 and 2025</w:t>
      </w:r>
    </w:p>
    <w:p>
      <w:pPr>
        <w:pStyle w:val="TextBody"/>
        <w:bidi w:val="0"/>
        <w:spacing w:lineRule="auto" w:line="288" w:before="0" w:after="200"/>
        <w:jc w:val="center"/>
        <w:rPr>
          <w:rFonts w:ascii="Times New Roman;serif" w:hAnsi="Times New Roman;serif"/>
          <w:b/>
          <w:color w:val="231F20"/>
          <w:sz w:val="20"/>
        </w:rPr>
      </w:pPr>
      <w:r>
        <w:rPr>
          <w:rFonts w:ascii="Times New Roman;serif" w:hAnsi="Times New Roman;serif"/>
          <w:b/>
          <w:color w:val="231F20"/>
          <w:sz w:val="20"/>
        </w:rPr>
        <w:t>(US Dollars in thousands, except share data and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 Description of the Business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 of the Business</w:t>
      </w:r>
    </w:p>
    <w:p>
      <w:pPr>
        <w:pStyle w:val="TextBody"/>
        <w:bidi w:val="0"/>
        <w:spacing w:lineRule="auto" w:line="26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August 3, 2026, The Oncology Institute, Inc. changed its corporate name to "Starling Oncology, Inc." (“Starling”). Unless the context dictates otherwise, references in these notes to the financial statements, the “Company,” “we,” “us,” “our,” and similar words are references to Starling and its consolidated subsidiaries and affiliated entities, as appropriate, including its consolidated variable interest entities (“VIEs”).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wholly-owned subsidiaries and affiliated entities, Starling operates combined community clinics and infusion suites staffed with providers who administer latest-generation cancer treatments including chemotherapy, immunotherapy, oncolytics, and radiation oncology. Additionally, Starling provides coordinated case management, drug formulary management, and fully-delegated networks of care providers, all of which we use to drive improved treatment outcomes at an affordable cost to our patients and payors. Additionally, Starling operates a specialty pharmacy that includes both in-office and mail-order dispensing for complementary oral and self-injectable medications taken by our patients concurrent with their in-office cancer therapies.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O</w:t>
      </w:r>
      <w:r>
        <w:rPr>
          <w:rFonts w:ascii="Times New Roman;serif" w:hAnsi="Times New Roman;serif"/>
          <w:b w:val="false"/>
          <w:color w:val="000000"/>
          <w:sz w:val="20"/>
        </w:rPr>
        <w:t xml:space="preserve">n March 31, 2025, the Company entered into a Research Services Agreement ("RSA") with Helios CR, Inc. ("Helios"), effective May 5, 2025, pursuant to which the Helios operates our Clinical Trials &amp; other segment under a profit sharing arrangement with the Company. As part of the RSA, there is a Transition Services Agreement, pursuant to which certain administrative and professional services are provided by Helios for a certain period of time. Additionally, the Company pays a management fee to Helios on a periodic basis for certain shared services. The Company recognized a $2,398 loss due to the write-off of the segment's net assets for the year ended December 31, 2025.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has 125 oncologists and mid-level professionals across 65 clinics located within five states: California, Florida, Arizona, Oregon and Nevada. </w:t>
      </w:r>
      <w:r>
        <w:rPr>
          <w:rFonts w:ascii="Times New Roman;serif" w:hAnsi="Times New Roman;serif"/>
          <w:b w:val="false"/>
          <w:color w:val="000000"/>
          <w:sz w:val="20"/>
        </w:rPr>
        <w:t>Starling Oncology CA, a Professional Corporation ("Starling CA"), one of the Starling professional corporations (each a "Starling PC"),</w:t>
      </w:r>
      <w:r>
        <w:rPr>
          <w:color w:val="231F20"/>
        </w:rPr>
        <w:t xml:space="preserve"> </w:t>
      </w:r>
      <w:r>
        <w:rPr>
          <w:rFonts w:ascii="Times New Roman;serif" w:hAnsi="Times New Roman;serif"/>
          <w:b w:val="false"/>
          <w:color w:val="231F20"/>
          <w:sz w:val="20"/>
        </w:rPr>
        <w:t>is comprised of the clinics located in California, Nevada, and Arizona. The Company has contractual relationships with multiple payors, serving Medicare, including Medicare Advantage, Medi-Cal, and commercial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2. Summary of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Unaudited Interim Financial Information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accompanying interim condensed consolidated financial statements are unaudited and have been prepared in accordance with Article 10 of Regulation S-X issued by the U.S. Securities and Exchange Commission ("SEC"). Accordingly, they do not include all of the information and note disclosures required by U.S. generally accepted accounting principles ("GAAP") for complete consolidated financial statements. However, the Company believes that the disclosures are adequate to ensure the information is not misleading. In the opinion of management, all adjustments (of normal and recurring nature) considered necessary for fair presentation have been reflected in these interim statements. As such, the information included in the accompanying unaudited interim condensed consolidated financial statements should be read in conjunction with the Company's audited consolidated financial statements and notes as of and for the year ended December 31, 2025, issued on March 12, 2026 in the Company's Annual Report on Form 10-K. The financial results included in this Form 10-Q are not necessarily indicative of annual year-end financial results.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Principles of Consolidation</w:t>
      </w:r>
    </w:p>
    <w:p>
      <w:pPr>
        <w:pStyle w:val="TextBody"/>
        <w:bidi w:val="0"/>
        <w:spacing w:lineRule="auto" w:line="288" w:before="0" w:after="200"/>
        <w:ind w:left="0" w:right="0" w:firstLine="399"/>
        <w:jc w:val="both"/>
        <w:rPr>
          <w:rFonts w:ascii="Times New Roman;serif" w:hAnsi="Times New Roman;serif"/>
          <w:b w:val="false"/>
          <w:color w:val="231F20"/>
          <w:sz w:val="20"/>
        </w:rPr>
      </w:pPr>
      <w:r>
        <w:rPr>
          <w:rFonts w:ascii="Times New Roman;serif" w:hAnsi="Times New Roman;serif"/>
          <w:b w:val="false"/>
          <w:color w:val="231F20"/>
          <w:sz w:val="20"/>
        </w:rPr>
        <w:t>The accompanying condensed consolidated financial statements include the accounts of Starling, its subsidiaries, all of which are controlled by Starling through majority voting control, and variable interest entities (“VIEs”) for which Starling is the primary beneficiary. The Company consolidates entities in which it has a controlling financial interest based on either the variable interest entity or voting interest model. All significant intercompany balances and transactions have been eliminated in consolidation.</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Variable Interest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consolidates entities for which it has a variable interest and is determined to be the primary beneficiary. Revenues, expenses, and net income (loss) from these subsidiaries are included in the consolidated amounts as presented on the Condensed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holds, as a result of entering into master services agreements ("MSAs"), variable interests in Starling PCs, which it cannot legally own.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Starling held variable interests in Starling CA, Starling Oncology FL, LLC, a Professional Corporation ("Starling FL"), Starling Oncology OR, a Professional Corporation ("Starling OR"), and Starling Oncology TX, a Professional Corporation ("Starling TX"), all of which are VIEs. The Company is the primary beneficiary of the Starling PCs and thus, consolidates the Starling PCs in its financial statements. As discussed in Note 16, the noncontrolling shareholders hold nominal interests in the VIEs and do not participate in the income or loss of the VIEs.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200"/>
        <w:jc w:val="both"/>
        <w:rPr/>
      </w:pPr>
      <w:r>
        <w:rPr>
          <w:rFonts w:ascii="Times New Roman;serif" w:hAnsi="Times New Roman;serif"/>
          <w:b w:val="false"/>
          <w:color w:val="000000"/>
          <w:sz w:val="20"/>
        </w:rPr>
        <w:t>The ac</w:t>
      </w:r>
      <w:r>
        <w:rPr>
          <w:rFonts w:ascii="Times New Roman;serif" w:hAnsi="Times New Roman;serif"/>
          <w:b w:val="false"/>
          <w:color w:val="231F20"/>
          <w:sz w:val="20"/>
        </w:rPr>
        <w:t xml:space="preserve">companying financial statements have been prepared on a going concern basis of accounting, which contemplates continuity of operations, realization of assets and liabilities and commitments in the normal course of business. In connection with the preparation of the condensed consolidated financial statements as of June 30, 2026, the Company conducted an evaluation as to whether there were conditions and events, considered in the aggregate, which raised substantial doubt as to its ability to continue as a going concern within one year after the date of the issuance of such financial statements. The Company had cash and cash equivalents of $41,094 and an accumulated deficit of $283,700 at June 30, 2026, and a net loss of $12,281 and net cash provided by operations of $9,725 for the six months ended June 30, 2026. </w:t>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concluded that it will have sufficient liquidity to fund its operations for at least one year from the date these consolidated financial statements are issued. 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Segment Reporting</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presents the financial statements by segment in accordance with ASC Topic No. 280, </w:t>
      </w:r>
      <w:r>
        <w:rPr>
          <w:rFonts w:ascii="Times New Roman;serif" w:hAnsi="Times New Roman;serif"/>
          <w:b w:val="false"/>
          <w:i/>
          <w:color w:val="231F20"/>
          <w:sz w:val="20"/>
        </w:rPr>
        <w:t xml:space="preserve">Segment Reporting </w:t>
      </w:r>
      <w:r>
        <w:rPr>
          <w:rFonts w:ascii="Times New Roman;serif" w:hAnsi="Times New Roman;serif"/>
          <w:b w:val="false"/>
          <w:color w:val="231F20"/>
          <w:sz w:val="20"/>
        </w:rPr>
        <w:t>(“ASC 280”) to provide investors with transparency into how the chief operating decision maker (“CODM”) manages the business. The Company determined the CODM is its Chief Executive Officer. The CODM reviews financial information and allocates resources across three operating segments: patient services, specialty pharmacy, and clinical trials &amp; other. Each of the operating segments is also a reporting segment as described further in Note 19.</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Use of Estimates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materially differ from those estimates under different assumptions or conditions. Significant items subject to such estimates and assumptions include judgments related to fee-for-service ("FFS") revenue recognition, estimated FFS accounts receivable and the allowance for credit losses, useful lives and recoverability of long-lived assets, recoverability of goodwill, fair value of share-based compensation, fair value of liability classified instruments, and judgments related to deferred income taxes.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Net Loss Per Share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Basic and diluted net loss per share attributable to common stockholders is presented in conformity with the two-class method required for participating securities. The Company's Series A Convertible Preferred Stock is classified as a participating security in accordance with ASC 260. Under the two-class method, basic and diluted net loss per share attributable to common stockholders is computed by dividing the basic and diluted net loss attributable to common stockholders by the basic and diluted weighted-average number of shares of common stock outstanding during the period. Diluted net income per share attributable to common stockholders adjusts basic net income per share for the potentially dilutive impact of stock options, restricted stock units ("RSUs"), Medical RSUs (defined in Note 14), public warrants, private placement warrants, common warrants, pre-funded warrants, and Senior Secured Convertible Notes (defined in Note 11).</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treasury stock method is used to calculate the potentially dilutive effect of stock options, RSUs, public warrants, and private placement warrants. The if-converted method is used to calculate the potentially dilutive effect of the Senior 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Notes. In both methods, diluted net income (loss) attributable to common stockholders and diluted weighted-average shares outstanding are adjusted to account for the impact of the assumed issuance of potential shares of common stock that are dilutive, subject to dilution sequencing rules. For the periods presented, the public and private placement warrants are out of the money; therefore, the public and private placement warrants are anti-dilutive and excluded from diluted net loss per share.</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Fair Value Measurements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fair value measurements under ASC Topic No. 820, </w:t>
      </w:r>
      <w:r>
        <w:rPr>
          <w:rFonts w:ascii="Times New Roman;serif" w:hAnsi="Times New Roman;serif"/>
          <w:b w:val="false"/>
          <w:i/>
          <w:color w:val="231F20"/>
          <w:sz w:val="20"/>
        </w:rPr>
        <w:t xml:space="preserve">Fair Value Measurements </w:t>
      </w:r>
      <w:r>
        <w:rPr>
          <w:rFonts w:ascii="Times New Roman;serif" w:hAnsi="Times New Roman;serif"/>
          <w:b w:val="false"/>
          <w:color w:val="231F20"/>
          <w:sz w:val="20"/>
        </w:rPr>
        <w:t>(“ASC 820”).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for further discussion):</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1inputs: Unadjusted quoted prices in active markets for identical assets or liabilities accessible to the reporting entity at the measurement date.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3inputs: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fair value measurement for cash and cash equivalents, </w:t>
      </w:r>
      <w:r>
        <w:rPr>
          <w:rFonts w:ascii="Times New Roman;serif" w:hAnsi="Times New Roman;serif"/>
          <w:b w:val="false"/>
          <w:color w:val="231F20"/>
          <w:sz w:val="20"/>
        </w:rPr>
        <w:t xml:space="preserve">accounts receivable, other receivables, and accounts payable approximates fair value because of the short maturity and high liquidity of these instruments. </w:t>
      </w:r>
      <w:r>
        <w:rPr>
          <w:rFonts w:ascii="Times New Roman;serif" w:hAnsi="Times New Roman;serif"/>
          <w:b w:val="false"/>
          <w:color w:val="000000"/>
          <w:sz w:val="20"/>
        </w:rPr>
        <w:t xml:space="preserve">Fair value measurement of investment securities available for sale is based upon quoted prices from active markets, if available (Level 1). If quoted prices are not available, fair values are measured using independent pricing models or other model-based valuation methodologies. Level 2 investment securities include money market securities purchased in the secondary market that use pricing inputs other than quoted prices in active markets and fair value is determined using pricing models or other valuation methodologies such as broker price indications, which are based on quoted prices for identical or similar notes, which are Level 2 input measures. Contingent considerations are valued using a present value factor using credit rating yields which are considered to be a Level 3 fair value measurement. Fair value measurements used for the goodwill and intangible assets </w:t>
      </w:r>
      <w:r>
        <w:rPr>
          <w:rFonts w:ascii="Times New Roman;serif" w:hAnsi="Times New Roman;serif"/>
          <w:b w:val="false"/>
          <w:color w:val="231F20"/>
          <w:sz w:val="20"/>
        </w:rPr>
        <w:t>are based on the discounted cash flow method within the income approach and guideline public company method to value the reporting units, which is considered to be a Level 3 fair value measurement.</w:t>
      </w:r>
      <w:r>
        <w:rPr>
          <w:color w:val="000000"/>
        </w:rPr>
        <w:t xml:space="preserve"> </w:t>
      </w:r>
      <w:r>
        <w:rPr>
          <w:rFonts w:ascii="Times New Roman;serif" w:hAnsi="Times New Roman;serif"/>
          <w:b w:val="false"/>
          <w:color w:val="000000"/>
          <w:sz w:val="20"/>
        </w:rPr>
        <w:t xml:space="preserve">The unobservable inputs utilized in determining the fair value of goodwill based on the income approach primarily include estimated future cash flows, discounted at a rate that approximates the cost of capital of a market participant. Inputs used to calculate the fair value based on the market approach include the revenue and EBITDA multiples based on guidelines for similar publicly traded companies and recent transactions. </w:t>
      </w:r>
      <w:r>
        <w:rPr>
          <w:rFonts w:ascii="Times New Roman;serif" w:hAnsi="Times New Roman;serif"/>
          <w:b w:val="false"/>
          <w:color w:val="231F20"/>
          <w:sz w:val="20"/>
        </w:rPr>
        <w:t>Fair value measurements of derivative warrants liability are based on the Black-Scholes Model, which is considered to be Level 3 fair value measurements. The primary unobservable input utilized in determining the fair value of the derivative warrants is the expected volatility of the common stock. Fair value measurements of the convertible note warrant and conversion option derivative liabilities are based on the Black-Derman-Toy model implemented in the Binomial Lattice and Black-Scholes Models, which are considered to be Level 3 fair value measurements. The primary unobservable input utilized in determining the fair value of the convertible note warrant and conversion option derivative liabilities is the expected volatility of the common stock. The senior secured convertible note, which is carried at amortized cost, is considered to be a Level 2 fair value measurement due to observable inputs, such as the term matched risk-free rate and the credit spread, which is used to calculate the discount rate as of the valuation date.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Cash primarily consists of deposits with banking institutions. </w:t>
      </w:r>
      <w:r>
        <w:rPr>
          <w:rFonts w:ascii="Times New Roman;serif" w:hAnsi="Times New Roman;serif"/>
          <w:b w:val="false"/>
          <w:color w:val="000000"/>
          <w:sz w:val="20"/>
        </w:rPr>
        <w:t xml:space="preserve">The Company considers all highly liquid investments that are both readily convertible into cash and mature within three months from the date of purchase to be cash equivalents.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Accounts Receivable and Allowance for Credit Losses</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Company’s accounts receivables are recorded and stated at the amount expected to be collected determined by each payor, net of an allowance for credit losses, under ASC Topic No. 310, </w:t>
      </w:r>
      <w:r>
        <w:rPr>
          <w:rFonts w:ascii="Times New Roman;serif" w:hAnsi="Times New Roman;serif"/>
          <w:b w:val="false"/>
          <w:i/>
          <w:color w:val="231F20"/>
          <w:sz w:val="20"/>
        </w:rPr>
        <w:t xml:space="preserve">Receivables </w:t>
      </w:r>
      <w:r>
        <w:rPr>
          <w:rFonts w:ascii="Times New Roman;serif" w:hAnsi="Times New Roman;serif"/>
          <w:b w:val="false"/>
          <w:color w:val="231F20"/>
          <w:sz w:val="20"/>
        </w:rPr>
        <w:t xml:space="preserve">(“ASC 310”). In accordance with ASC Topic No. 326, </w:t>
      </w:r>
      <w:r>
        <w:rPr>
          <w:rFonts w:ascii="Times New Roman;serif" w:hAnsi="Times New Roman;serif"/>
          <w:b w:val="false"/>
          <w:i/>
          <w:color w:val="231F20"/>
          <w:sz w:val="20"/>
        </w:rPr>
        <w:t xml:space="preserve">Financial Instruments — Credit Losses </w:t>
      </w:r>
      <w:r>
        <w:rPr>
          <w:rFonts w:ascii="Times New Roman;serif" w:hAnsi="Times New Roman;serif"/>
          <w:b w:val="false"/>
          <w:color w:val="231F20"/>
          <w:sz w:val="20"/>
        </w:rPr>
        <w:t xml:space="preserve">(“ASC 326”), the Company recognizes credit losses based on a forward-looking current expected credit losses (“CECL”) model. The Company segregates accounts receivables into portfolio segments based on shared risk characteristics, such as line of business and payor type, for evaluation of expected credit losses. The Company makes estimates of expected credit losses based upon its assessment of various factors, including the age of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231F20"/>
          <w:sz w:val="20"/>
        </w:rPr>
      </w:pPr>
      <w:r>
        <w:rPr>
          <w:rFonts w:ascii="Times New Roman;serif" w:hAnsi="Times New Roman;serif"/>
          <w:b w:val="false"/>
          <w:color w:val="231F20"/>
          <w:sz w:val="20"/>
        </w:rPr>
        <w:t>receivable balances, default-based statistics, current economic conditions, reasonable and supportable forecasts of future economic conditions, and other factors that may affect its ability to collect from customers. The allowance for credit losses is developed using a loss rate method and is recognized in the Condensed Consolidated Statement of Operations. The uncollectible accounts receivables are written off on a quarterly basis in the period when collection activities cease due to a final determination that all or a portion of the balance is no longer collectible and if there is no pending litigation activity related to the receivable. There was no allowance for credit losses recorded as of June 30, 2026 and December 31,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goodwill under Accounting Standards Codification Topic No. 350, Intangibles - </w:t>
      </w:r>
      <w:r>
        <w:rPr>
          <w:rFonts w:ascii="Times New Roman;serif" w:hAnsi="Times New Roman;serif"/>
          <w:b w:val="false"/>
          <w:i/>
          <w:color w:val="231F20"/>
          <w:sz w:val="20"/>
        </w:rPr>
        <w:t xml:space="preserve">Goodwill and Other </w:t>
      </w:r>
      <w:r>
        <w:rPr>
          <w:rFonts w:ascii="Times New Roman;serif" w:hAnsi="Times New Roman;serif"/>
          <w:b w:val="false"/>
          <w:color w:val="231F20"/>
          <w:sz w:val="20"/>
        </w:rPr>
        <w:t>(“ASC 350”). Goodwill represents the excess of the aggregate purchase price paid over the fair value of the net assets acquired in the Company's business combinations.</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Goodwill is not amortized but is required to be evaluated for impairment at least annually or whenever events or changes in circumstances indicate that the carrying value may not be recoverable. The Company performs its annual testing of impairment for goodwill in the fourth quarter of each year.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performed a qualitative assessment as of June 30, 2026 and determined it was not necessary to perform the two-step quantitative analysis. The Company determined there was no impairment for the three months ended June 30, 2026.</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debt net of debt issuance costs and debt discount. Debt issuance costs and debt discount are capitalized, netted against the related debt for presentation purposes, and amortized to interest expense over the terms of the related debt using the effective interest method.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accounts for bifurcated, debt-classified embedded features separately as derivative liabilities pursuant to ASC Topic No. 815, </w:t>
      </w:r>
      <w:r>
        <w:rPr>
          <w:rFonts w:ascii="Times New Roman;serif" w:hAnsi="Times New Roman;serif"/>
          <w:b w:val="false"/>
          <w:i/>
          <w:color w:val="231F20"/>
          <w:sz w:val="20"/>
        </w:rPr>
        <w:t>Derivatives and Hedging</w:t>
      </w:r>
      <w:r>
        <w:rPr>
          <w:color w:val="231F20"/>
        </w:rPr>
        <w:t xml:space="preserve"> </w:t>
      </w:r>
      <w:r>
        <w:rPr>
          <w:rFonts w:ascii="Times New Roman;serif" w:hAnsi="Times New Roman;serif"/>
          <w:b w:val="false"/>
          <w:color w:val="231F20"/>
          <w:sz w:val="20"/>
        </w:rPr>
        <w:t xml:space="preserve">("ASC 815"). Bifurcated, debt-classified embedded features are recorded at fair value on the Company's balance sheet with subsequent changes in fair value recorded in the Condensed Consolidated Statement of Operations each reporting period.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Investments in Marketable Securities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Company's investments in marketable securities are classified as available-for-sale and are carried at fair value. The Company accounts for its investment securities available for sale using the fair value election pursuant to ASC 825, </w:t>
      </w:r>
      <w:r>
        <w:rPr>
          <w:rFonts w:ascii="Times New Roman;serif" w:hAnsi="Times New Roman;serif"/>
          <w:b w:val="false"/>
          <w:i/>
          <w:color w:val="231F20"/>
          <w:sz w:val="20"/>
        </w:rPr>
        <w:t>Financial Instruments</w:t>
      </w:r>
      <w:r>
        <w:rPr>
          <w:color w:val="231F20"/>
        </w:rPr>
        <w:t xml:space="preserve"> </w:t>
      </w:r>
      <w:r>
        <w:rPr>
          <w:rFonts w:ascii="Times New Roman;serif" w:hAnsi="Times New Roman;serif"/>
          <w:b w:val="false"/>
          <w:color w:val="231F20"/>
          <w:sz w:val="20"/>
        </w:rPr>
        <w:t xml:space="preserve">("ASC 825"), where changes in fair value are recorded in unrealized gains (losses), net on the Company's Condensed Consolidated Statements of Operations. The Company determines the appropriate classification of these investments at the time of purchase and reevaluates such designation at each balance sheet date. The Company’s marketable securities are classified as current assets if the maturity date is less than one year from the balance sheet date.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Interest income and accretion on marketable securities are included in interest income in the Consolidated Statements of Operations. Realized gains and losses on sales of securities, and other-than-temporary declines in the fair value of marketable securities, if any, are included as a component of other income (expense), net in the Condensed Consolidated Statements of Operations. The cost of securities sold is based on the First In, First Out method.</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At each reporting period, the Company evaluates available-for-sale marketable securities, to the extent the fair value option is not elected, for any credit-related impairment when the fair value of the investment is less than its amortized cost. If the Company determines that the decline in fair value is below the carrying value and this decline is other-than-temporary, credit-related impairment is recognized in the Consolidated Statement of Operations in accordance with ASC 320, </w:t>
      </w:r>
      <w:r>
        <w:rPr>
          <w:rFonts w:ascii="Times New Roman;serif" w:hAnsi="Times New Roman;serif"/>
          <w:b w:val="false"/>
          <w:i/>
          <w:color w:val="231F20"/>
          <w:sz w:val="20"/>
        </w:rPr>
        <w:t>Debt Securities</w:t>
      </w:r>
      <w:r>
        <w:rPr>
          <w:rFonts w:ascii="Times New Roman;serif" w:hAnsi="Times New Roman;serif"/>
          <w:b w:val="false"/>
          <w:color w:val="231F20"/>
          <w:sz w:val="20"/>
        </w:rPr>
        <w:t xml:space="preserve">. </w:t>
      </w:r>
    </w:p>
    <w:p>
      <w:pPr>
        <w:pStyle w:val="TextBody"/>
        <w:bidi w:val="0"/>
        <w:spacing w:lineRule="auto" w:line="288" w:before="0" w:after="240"/>
        <w:jc w:val="both"/>
        <w:rPr>
          <w:rFonts w:ascii="Times New Roman;serif" w:hAnsi="Times New Roman;serif"/>
          <w:b/>
          <w:color w:val="231F20"/>
          <w:sz w:val="20"/>
        </w:rPr>
      </w:pPr>
      <w:r>
        <w:rPr>
          <w:rFonts w:ascii="Times New Roman;serif" w:hAnsi="Times New Roman;serif"/>
          <w:b/>
          <w:color w:val="231F20"/>
          <w:sz w:val="20"/>
        </w:rPr>
        <w:t>Comprehensive Loss</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Comprehensive loss includes net loss to common stockholders as well as other changes in equity that result from transactions and economic events other than those with stockholders. There was no difference between comprehensive loss and net loss to common stockholders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color w:val="231F20"/>
          <w:sz w:val="20"/>
        </w:rPr>
      </w:pPr>
      <w:r>
        <w:rPr>
          <w:rFonts w:ascii="Times New Roman;serif" w:hAnsi="Times New Roman;serif"/>
          <w:b/>
          <w:color w:val="231F20"/>
          <w:sz w:val="20"/>
        </w:rPr>
        <w:t>Recently Issued and Adopted Accounting Standards</w:t>
      </w:r>
    </w:p>
    <w:p>
      <w:pPr>
        <w:pStyle w:val="TextBody"/>
        <w:bidi w:val="0"/>
        <w:spacing w:lineRule="auto" w:line="268" w:before="0" w:after="0"/>
        <w:ind w:left="0" w:right="0" w:firstLine="36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Income Taxes (Topic 740): Improvement to Income Tax Disclosures ("ASU 2023-09")</w:t>
      </w:r>
      <w:r>
        <w:rPr>
          <w:rFonts w:ascii="Times New Roman;serif" w:hAnsi="Times New Roman;serif"/>
          <w:b w:val="false"/>
          <w:color w:val="000000"/>
          <w:sz w:val="20"/>
        </w:rPr>
        <w:t>. The new standard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year ending December 31, 2025 and continuing to provide the pre-ASU disclosures for the prior periods, or may apply the amendments retrospectively by providing the revised disclosures for all periods presented. The Company adopted ASU 2023-09 as of December 31, 2025. The adoption did not have a material impact on the Company's financial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ASU 2024-03 does not change the expense captions an entity presents on the face of the income statement; rather it requires disaggregation of certain expense captions into specified categories in disclosures within the footnotes to the financial statements. ASU 2024-03 requires footnote disclosure about specific expenses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gas-production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annual periods beginning after December 15, 2026, and interim reporting periods beginning after December 15, 2027. The requirements will be applied prospectively with the option for retrospective application. Early adoption is permitted. The Company will adopt ASU 2024-03 at the beginning of fiscal year 2027. The Company is currently evaluating the disclosure requirements and its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3. Significant Risks and Uncertainties Including Business and Credit Concentrations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Credit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Financial instruments that potentially subject the Company to concentrations of credit risk consist primarily of cash, accounts receivable, and investment securities.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Cash accounts in a financial institution may, at times, exceed the Federal Deposit Insurance Corporation coverage of $250 per account ownership category. The Company has not experienced losses on these accounts, and management believes the Company is not exposed to significant risks on such accounts.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Company’s accounts receivable has implicit collection risk. The Company grants credit without collateral to its patients, most of whom are local residents and are insured under third-party payor agreements. The Company believes this risk is partially mitigated by the Company’s establishment of long-term agreements and relationships with third-party payors that provide the Company with insight into historic collectability and improve the collections process.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Revenue Concentration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concentration of net revenue on a percentage basis for major payors for the three and six months ended June 30, 2026 and 2025 are as follows:</w:t>
      </w:r>
    </w:p>
    <w:tbl>
      <w:tblPr>
        <w:tblW w:w="9083" w:type="dxa"/>
        <w:jc w:val="left"/>
        <w:tblInd w:w="0" w:type="dxa"/>
        <w:tblLayout w:type="fixed"/>
        <w:tblCellMar>
          <w:top w:w="28" w:type="dxa"/>
          <w:left w:w="28" w:type="dxa"/>
          <w:bottom w:w="28" w:type="dxa"/>
          <w:right w:w="28" w:type="dxa"/>
        </w:tblCellMar>
      </w:tblPr>
      <w:tblGrid>
        <w:gridCol w:w="1340"/>
        <w:gridCol w:w="1178"/>
        <w:gridCol w:w="1186"/>
        <w:gridCol w:w="219"/>
        <w:gridCol w:w="219"/>
        <w:gridCol w:w="545"/>
        <w:gridCol w:w="219"/>
        <w:gridCol w:w="219"/>
        <w:gridCol w:w="219"/>
        <w:gridCol w:w="219"/>
        <w:gridCol w:w="219"/>
        <w:gridCol w:w="545"/>
        <w:gridCol w:w="109"/>
        <w:gridCol w:w="109"/>
        <w:gridCol w:w="109"/>
        <w:gridCol w:w="196"/>
        <w:gridCol w:w="196"/>
        <w:gridCol w:w="488"/>
        <w:gridCol w:w="196"/>
        <w:gridCol w:w="196"/>
        <w:gridCol w:w="196"/>
        <w:gridCol w:w="196"/>
        <w:gridCol w:w="196"/>
        <w:gridCol w:w="569"/>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Patient Services Net Revenue:</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A</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C</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w:t>
      </w:r>
      <w:r>
        <w:rPr>
          <w:rFonts w:ascii="Times New Roman;serif" w:hAnsi="Times New Roman;serif"/>
          <w:b w:val="false"/>
          <w:color w:val="000000"/>
          <w:sz w:val="20"/>
        </w:rPr>
        <w:t>concentration</w:t>
      </w:r>
      <w:r>
        <w:rPr>
          <w:color w:val="231F20"/>
        </w:rPr>
        <w:t xml:space="preserve"> </w:t>
      </w:r>
      <w:r>
        <w:rPr>
          <w:rFonts w:ascii="Times New Roman;serif" w:hAnsi="Times New Roman;serif"/>
          <w:b w:val="false"/>
          <w:color w:val="231F20"/>
          <w:sz w:val="20"/>
        </w:rPr>
        <w:t>of gross receivables on a percentage basis for major payors at June 30, 2026 and December 31, 2025 are as follows:</w:t>
      </w:r>
    </w:p>
    <w:tbl>
      <w:tblPr>
        <w:tblW w:w="8486" w:type="dxa"/>
        <w:jc w:val="left"/>
        <w:tblInd w:w="0" w:type="dxa"/>
        <w:tblLayout w:type="fixed"/>
        <w:tblCellMar>
          <w:top w:w="28" w:type="dxa"/>
          <w:left w:w="28" w:type="dxa"/>
          <w:bottom w:w="28" w:type="dxa"/>
          <w:right w:w="28" w:type="dxa"/>
        </w:tblCellMar>
      </w:tblPr>
      <w:tblGrid>
        <w:gridCol w:w="1851"/>
        <w:gridCol w:w="1630"/>
        <w:gridCol w:w="1634"/>
        <w:gridCol w:w="282"/>
        <w:gridCol w:w="282"/>
        <w:gridCol w:w="711"/>
        <w:gridCol w:w="109"/>
        <w:gridCol w:w="109"/>
        <w:gridCol w:w="109"/>
        <w:gridCol w:w="359"/>
        <w:gridCol w:w="359"/>
        <w:gridCol w:w="1051"/>
      </w:tblGrid>
      <w:tr>
        <w:trPr/>
        <w:tc>
          <w:tcPr>
            <w:tcW w:w="185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Gross Receivables of Patient Services Revenue:</w:t>
            </w:r>
          </w:p>
        </w:tc>
        <w:tc>
          <w:tcPr>
            <w:tcW w:w="12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B</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left"/>
        <w:rPr/>
      </w:pPr>
      <w:r>
        <w:rPr>
          <w:rFonts w:ascii="Times New Roman;serif" w:hAnsi="Times New Roman;serif"/>
          <w:b w:val="false"/>
          <w:color w:val="231F20"/>
          <w:sz w:val="20"/>
        </w:rPr>
        <w:t xml:space="preserve">All </w:t>
      </w:r>
      <w:r>
        <w:rPr>
          <w:rFonts w:ascii="Times New Roman;serif" w:hAnsi="Times New Roman;serif"/>
          <w:b w:val="false"/>
          <w:color w:val="000000"/>
          <w:sz w:val="20"/>
        </w:rPr>
        <w:t>of</w:t>
      </w:r>
      <w:r>
        <w:rPr>
          <w:color w:val="231F20"/>
        </w:rPr>
        <w:t xml:space="preserve"> </w:t>
      </w:r>
      <w:r>
        <w:rPr>
          <w:rFonts w:ascii="Times New Roman;serif" w:hAnsi="Times New Roman;serif"/>
          <w:b w:val="false"/>
          <w:color w:val="231F20"/>
          <w:sz w:val="20"/>
        </w:rPr>
        <w:t>the Company’s revenue is generated from customers located in the United States.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Vendor Concentration Risk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concentration of cost of sales (drug procurement) on a percentage basis for major vendors for the three and six months ended June 30, 2026 and 2025 are as follows:</w:t>
      </w:r>
    </w:p>
    <w:tbl>
      <w:tblPr>
        <w:tblW w:w="7810" w:type="dxa"/>
        <w:jc w:val="left"/>
        <w:tblInd w:w="0" w:type="dxa"/>
        <w:tblLayout w:type="fixed"/>
        <w:tblCellMar>
          <w:top w:w="28" w:type="dxa"/>
          <w:left w:w="28" w:type="dxa"/>
          <w:bottom w:w="28" w:type="dxa"/>
          <w:right w:w="28" w:type="dxa"/>
        </w:tblCellMar>
      </w:tblPr>
      <w:tblGrid>
        <w:gridCol w:w="836"/>
        <w:gridCol w:w="735"/>
        <w:gridCol w:w="739"/>
        <w:gridCol w:w="219"/>
        <w:gridCol w:w="219"/>
        <w:gridCol w:w="545"/>
        <w:gridCol w:w="219"/>
        <w:gridCol w:w="219"/>
        <w:gridCol w:w="219"/>
        <w:gridCol w:w="266"/>
        <w:gridCol w:w="219"/>
        <w:gridCol w:w="545"/>
        <w:gridCol w:w="109"/>
        <w:gridCol w:w="109"/>
        <w:gridCol w:w="109"/>
        <w:gridCol w:w="196"/>
        <w:gridCol w:w="196"/>
        <w:gridCol w:w="488"/>
        <w:gridCol w:w="196"/>
        <w:gridCol w:w="196"/>
        <w:gridCol w:w="196"/>
        <w:gridCol w:w="233"/>
        <w:gridCol w:w="233"/>
        <w:gridCol w:w="56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Direct Costs:</w:t>
            </w:r>
          </w:p>
        </w:tc>
        <w:tc>
          <w:tcPr>
            <w:tcW w:w="98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A</w:t>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concentration of gross payables on a percentage basis for major payors at June 30, 2026 and December 31, 2025 are as follows:</w:t>
      </w:r>
    </w:p>
    <w:tbl>
      <w:tblPr>
        <w:tblW w:w="5906" w:type="dxa"/>
        <w:jc w:val="left"/>
        <w:tblInd w:w="0" w:type="dxa"/>
        <w:tblLayout w:type="fixed"/>
        <w:tblCellMar>
          <w:top w:w="28" w:type="dxa"/>
          <w:left w:w="28" w:type="dxa"/>
          <w:bottom w:w="28" w:type="dxa"/>
          <w:right w:w="28" w:type="dxa"/>
        </w:tblCellMar>
      </w:tblPr>
      <w:tblGrid>
        <w:gridCol w:w="917"/>
        <w:gridCol w:w="806"/>
        <w:gridCol w:w="811"/>
        <w:gridCol w:w="282"/>
        <w:gridCol w:w="282"/>
        <w:gridCol w:w="711"/>
        <w:gridCol w:w="109"/>
        <w:gridCol w:w="109"/>
        <w:gridCol w:w="109"/>
        <w:gridCol w:w="493"/>
        <w:gridCol w:w="493"/>
        <w:gridCol w:w="78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Gross Payables:</w:t>
            </w:r>
          </w:p>
        </w:tc>
        <w:tc>
          <w:tcPr>
            <w:tcW w:w="12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A</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7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B</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200"/>
        <w:ind w:left="0" w:right="0" w:firstLine="360"/>
        <w:jc w:val="righ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4. Accounts Receivable</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Company’s accounts receivable consists primarily of amounts due from third-party payors and patients. See Note 2 for a summary of the Company’s policies relating to accounts receivable and allowance for credit losses.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Accounts Receivable as of June 30, 2026 and December 31, 2025 consist of the following:</w:t>
      </w:r>
    </w:p>
    <w:tbl>
      <w:tblPr>
        <w:tblW w:w="7675" w:type="dxa"/>
        <w:jc w:val="left"/>
        <w:tblInd w:w="0" w:type="dxa"/>
        <w:tblLayout w:type="fixed"/>
        <w:tblCellMar>
          <w:top w:w="28" w:type="dxa"/>
          <w:left w:w="28" w:type="dxa"/>
          <w:bottom w:w="28" w:type="dxa"/>
          <w:right w:w="28" w:type="dxa"/>
        </w:tblCellMar>
      </w:tblPr>
      <w:tblGrid>
        <w:gridCol w:w="1558"/>
        <w:gridCol w:w="1371"/>
        <w:gridCol w:w="1375"/>
        <w:gridCol w:w="258"/>
        <w:gridCol w:w="883"/>
        <w:gridCol w:w="133"/>
        <w:gridCol w:w="109"/>
        <w:gridCol w:w="109"/>
        <w:gridCol w:w="109"/>
        <w:gridCol w:w="344"/>
        <w:gridCol w:w="1175"/>
        <w:gridCol w:w="251"/>
      </w:tblGrid>
      <w:tr>
        <w:trPr/>
        <w:tc>
          <w:tcPr>
            <w:tcW w:w="15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accounts receivable (Specialty Pharmacy)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accounts receivable (Patient Services)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3,213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accounts receivable, net (Patient Services)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35,376</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trade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12,952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There was no allowance for credit losses as of June 30, 2026 and December 31, 2025.</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As of January 1, 2025, the accounts receivable balance amounted to $48,335.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During the three and six months ended June 30, 2026 and 2025, the Company had no net bad debt recoveries and bad debt expense. Credit losses are a result of accounts receivable on completed contracts that were deemed uncollectible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5. Revenue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recognizes revenue in accordance with ASC 606 on the basis of its satisfaction of outstanding performance obligations. The Company typically fulfills its performance obligations over time, either over the course of a single treatment (fee-for-service or "FFS"), a month (capitation), or a number of months (clinical research). The Company also has revenue that is satisfied at a point in time (specialty pharmacy).</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Disaggregation of Revenue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categorizes revenue based on various factors such as the nature of contracts, payors, order to billing arrangements, and cash flows received by the Company, as follows:</w:t>
      </w:r>
    </w:p>
    <w:tbl>
      <w:tblPr>
        <w:tblW w:w="9049" w:type="dxa"/>
        <w:jc w:val="left"/>
        <w:tblInd w:w="0" w:type="dxa"/>
        <w:tblLayout w:type="fixed"/>
        <w:tblCellMar>
          <w:top w:w="28" w:type="dxa"/>
          <w:left w:w="28" w:type="dxa"/>
          <w:bottom w:w="28" w:type="dxa"/>
          <w:right w:w="28" w:type="dxa"/>
        </w:tblCellMar>
      </w:tblPr>
      <w:tblGrid>
        <w:gridCol w:w="1243"/>
        <w:gridCol w:w="1094"/>
        <w:gridCol w:w="1098"/>
        <w:gridCol w:w="211"/>
        <w:gridCol w:w="828"/>
        <w:gridCol w:w="109"/>
        <w:gridCol w:w="109"/>
        <w:gridCol w:w="109"/>
        <w:gridCol w:w="109"/>
        <w:gridCol w:w="211"/>
        <w:gridCol w:w="828"/>
        <w:gridCol w:w="109"/>
        <w:gridCol w:w="211"/>
        <w:gridCol w:w="826"/>
        <w:gridCol w:w="109"/>
        <w:gridCol w:w="109"/>
        <w:gridCol w:w="109"/>
        <w:gridCol w:w="109"/>
        <w:gridCol w:w="211"/>
        <w:gridCol w:w="826"/>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vMerge w:val="continue"/>
            <w:tcBorders/>
            <w:tcMar>
              <w:top w:w="0" w:type="dxa"/>
              <w:left w:w="0" w:type="dxa"/>
              <w:bottom w:w="0" w:type="dxa"/>
              <w:right w:w="0" w:type="dxa"/>
            </w:tcMar>
            <w:vAlign w:val="center"/>
          </w:tcPr>
          <w:p>
            <w:pPr>
              <w:pStyle w:val="Normal"/>
              <w:bidi w:val="0"/>
              <w:jc w:val="left"/>
              <w:rPr/>
            </w:pPr>
            <w:r>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14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revenue</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37,048</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58,827 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55,891 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117,914 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research trials and other revenue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Refer to Note 19 for Segment Reporting for disaggregation of revenue by reporting segment.</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Contract Asset and Liabilities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Under ASC 606, contract assets represent rights to payment for performance contingent on something other than the passage of time and accounts receivable are rights to payment for performance without contingencies. The Company does not have any contract assets as of June 30, 2026, January 1, 2025, and December 31, 2025. Refer to Note 4 for accounts receivable as of June 30, 2026 and December 31, 2025.</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Contract liabilities represent cash that has been received for contracts, but for which performance is still unsatisfied. As of January 1, 2025, December 31, 2025, and June 30, 2026, the contract liabilities amounted to $0. During the three month periods ended June 30, 2026 and 2025, the Company recognized no revenue related to deferred capitation revenue received (contract liability) as of the beginning of each respective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Remaining Unsatisfied Performance Obligations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accounting terms for the Company’s patient services and specialty pharmacy contracts do not extend past a year in duration. Additionally, the Company applies the ‘as invoiced’ practical expedient to its clinical research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6. Inventories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purchases intravenous chemotherapy drugs and oral prescription drugs from various suppliers, however substantially from one supplier.</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Company’s inventories as of June 30, 2026 and December 31, 2025 were as follows:</w:t>
      </w:r>
    </w:p>
    <w:tbl>
      <w:tblPr>
        <w:tblW w:w="5095" w:type="dxa"/>
        <w:jc w:val="left"/>
        <w:tblInd w:w="0" w:type="dxa"/>
        <w:tblLayout w:type="fixed"/>
        <w:tblCellMar>
          <w:top w:w="28" w:type="dxa"/>
          <w:left w:w="28" w:type="dxa"/>
          <w:bottom w:w="28" w:type="dxa"/>
          <w:right w:w="28" w:type="dxa"/>
        </w:tblCellMar>
      </w:tblPr>
      <w:tblGrid>
        <w:gridCol w:w="624"/>
        <w:gridCol w:w="549"/>
        <w:gridCol w:w="551"/>
        <w:gridCol w:w="258"/>
        <w:gridCol w:w="883"/>
        <w:gridCol w:w="133"/>
        <w:gridCol w:w="109"/>
        <w:gridCol w:w="109"/>
        <w:gridCol w:w="109"/>
        <w:gridCol w:w="344"/>
        <w:gridCol w:w="1175"/>
        <w:gridCol w:w="25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inventory</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 drug inventory</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8,079</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20,011 </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2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7. Marketable Securities and Fair Value Measurements</w:t>
      </w:r>
    </w:p>
    <w:p>
      <w:pPr>
        <w:pStyle w:val="TextBody"/>
        <w:bidi w:val="0"/>
        <w:spacing w:lineRule="auto" w:line="288" w:before="0" w:after="200"/>
        <w:ind w:left="0" w:right="0" w:firstLine="360"/>
        <w:jc w:val="both"/>
        <w:rPr>
          <w:rFonts w:ascii="Times New Roman;serif" w:hAnsi="Times New Roman;serif"/>
          <w:b w:val="false"/>
          <w:i/>
          <w:color w:val="231F20"/>
          <w:sz w:val="20"/>
        </w:rPr>
      </w:pPr>
      <w:r>
        <w:rPr>
          <w:rFonts w:ascii="Times New Roman;serif" w:hAnsi="Times New Roman;serif"/>
          <w:b w:val="false"/>
          <w:i/>
          <w:color w:val="231F20"/>
          <w:sz w:val="20"/>
        </w:rPr>
        <w:t>Marketable Securities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accounted for its investment securities as available for sale using the fair value election pursuant to ASC 825, where changes in fair value are recorded in Other, net non-operating income (expense) on the Company's Condensed Consolidated Statements of Operations. The Company’s investments in cash equivalents at June 30, 2026 and December 31, 2025 is as follows:</w:t>
      </w:r>
    </w:p>
    <w:tbl>
      <w:tblPr>
        <w:tblW w:w="9581" w:type="dxa"/>
        <w:jc w:val="left"/>
        <w:tblInd w:w="0" w:type="dxa"/>
        <w:tblLayout w:type="fixed"/>
        <w:tblCellMar>
          <w:top w:w="28" w:type="dxa"/>
          <w:left w:w="28" w:type="dxa"/>
          <w:bottom w:w="28" w:type="dxa"/>
          <w:right w:w="28" w:type="dxa"/>
        </w:tblCellMar>
      </w:tblPr>
      <w:tblGrid>
        <w:gridCol w:w="651"/>
        <w:gridCol w:w="574"/>
        <w:gridCol w:w="575"/>
        <w:gridCol w:w="289"/>
        <w:gridCol w:w="987"/>
        <w:gridCol w:w="149"/>
        <w:gridCol w:w="109"/>
        <w:gridCol w:w="109"/>
        <w:gridCol w:w="109"/>
        <w:gridCol w:w="614"/>
        <w:gridCol w:w="1182"/>
        <w:gridCol w:w="318"/>
        <w:gridCol w:w="109"/>
        <w:gridCol w:w="109"/>
        <w:gridCol w:w="109"/>
        <w:gridCol w:w="632"/>
        <w:gridCol w:w="1216"/>
        <w:gridCol w:w="327"/>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tbl>
      <w:tblPr>
        <w:tblW w:w="9581" w:type="dxa"/>
        <w:jc w:val="left"/>
        <w:tblInd w:w="0" w:type="dxa"/>
        <w:tblLayout w:type="fixed"/>
        <w:tblCellMar>
          <w:top w:w="28" w:type="dxa"/>
          <w:left w:w="28" w:type="dxa"/>
          <w:bottom w:w="28" w:type="dxa"/>
          <w:right w:w="28" w:type="dxa"/>
        </w:tblCellMar>
      </w:tblPr>
      <w:tblGrid>
        <w:gridCol w:w="651"/>
        <w:gridCol w:w="574"/>
        <w:gridCol w:w="575"/>
        <w:gridCol w:w="289"/>
        <w:gridCol w:w="987"/>
        <w:gridCol w:w="149"/>
        <w:gridCol w:w="109"/>
        <w:gridCol w:w="109"/>
        <w:gridCol w:w="109"/>
        <w:gridCol w:w="614"/>
        <w:gridCol w:w="1182"/>
        <w:gridCol w:w="318"/>
        <w:gridCol w:w="109"/>
        <w:gridCol w:w="109"/>
        <w:gridCol w:w="109"/>
        <w:gridCol w:w="632"/>
        <w:gridCol w:w="1216"/>
        <w:gridCol w:w="327"/>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 xml:space="preserve">The contractual maturities of the Company's investments in cash equivalents as of June 30, 2026 and December 31, 2025 is as follows: </w:t>
      </w:r>
    </w:p>
    <w:tbl>
      <w:tblPr>
        <w:tblW w:w="10205" w:type="dxa"/>
        <w:jc w:val="left"/>
        <w:tblInd w:w="0" w:type="dxa"/>
        <w:tblLayout w:type="fixed"/>
        <w:tblCellMar>
          <w:top w:w="28" w:type="dxa"/>
          <w:left w:w="28" w:type="dxa"/>
          <w:bottom w:w="28" w:type="dxa"/>
          <w:right w:w="28" w:type="dxa"/>
        </w:tblCellMar>
      </w:tblPr>
      <w:tblGrid>
        <w:gridCol w:w="778"/>
        <w:gridCol w:w="657"/>
        <w:gridCol w:w="659"/>
        <w:gridCol w:w="371"/>
        <w:gridCol w:w="1269"/>
        <w:gridCol w:w="191"/>
        <w:gridCol w:w="109"/>
        <w:gridCol w:w="109"/>
        <w:gridCol w:w="109"/>
        <w:gridCol w:w="772"/>
        <w:gridCol w:w="1491"/>
        <w:gridCol w:w="406"/>
        <w:gridCol w:w="109"/>
        <w:gridCol w:w="109"/>
        <w:gridCol w:w="109"/>
        <w:gridCol w:w="447"/>
        <w:gridCol w:w="861"/>
        <w:gridCol w:w="230"/>
        <w:gridCol w:w="109"/>
        <w:gridCol w:w="109"/>
        <w:gridCol w:w="109"/>
        <w:gridCol w:w="211"/>
        <w:gridCol w:w="721"/>
        <w:gridCol w:w="160"/>
      </w:tblGrid>
      <w:tr>
        <w:trPr/>
        <w:tc>
          <w:tcPr>
            <w:tcW w:w="77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June 30, 2026</w:t>
            </w:r>
            <w:r>
              <w:rPr>
                <w:color w:val="000000"/>
              </w:rPr>
              <w:t xml:space="preserve"> </w:t>
            </w:r>
            <w:r>
              <w:rPr>
                <w:rFonts w:ascii="Times New Roman;serif" w:hAnsi="Times New Roman;serif"/>
                <w:b w:val="false"/>
                <w:i/>
                <w:color w:val="000000"/>
                <w:sz w:val="20"/>
              </w:rPr>
              <w:t>(in thousands)</w:t>
            </w:r>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0"/>
        <w:gridCol w:w="731"/>
        <w:gridCol w:w="733"/>
        <w:gridCol w:w="361"/>
        <w:gridCol w:w="1233"/>
        <w:gridCol w:w="186"/>
        <w:gridCol w:w="109"/>
        <w:gridCol w:w="109"/>
        <w:gridCol w:w="109"/>
        <w:gridCol w:w="736"/>
        <w:gridCol w:w="1421"/>
        <w:gridCol w:w="387"/>
        <w:gridCol w:w="109"/>
        <w:gridCol w:w="109"/>
        <w:gridCol w:w="109"/>
        <w:gridCol w:w="431"/>
        <w:gridCol w:w="831"/>
        <w:gridCol w:w="222"/>
        <w:gridCol w:w="109"/>
        <w:gridCol w:w="109"/>
        <w:gridCol w:w="109"/>
        <w:gridCol w:w="211"/>
        <w:gridCol w:w="721"/>
        <w:gridCol w:w="160"/>
      </w:tblGrid>
      <w:tr>
        <w:trPr/>
        <w:tc>
          <w:tcPr>
            <w:tcW w:w="8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December 31, 2025</w:t>
            </w:r>
            <w:r>
              <w:rPr>
                <w:color w:val="000000"/>
              </w:rPr>
              <w:t xml:space="preserve"> </w:t>
            </w:r>
            <w:r>
              <w:rPr>
                <w:rFonts w:ascii="Times New Roman;serif" w:hAnsi="Times New Roman;serif"/>
                <w:b w:val="false"/>
                <w:i/>
                <w:color w:val="000000"/>
                <w:sz w:val="20"/>
              </w:rPr>
              <w:t>(in thousands)</w:t>
            </w:r>
          </w:p>
        </w:tc>
        <w:tc>
          <w:tcPr>
            <w:tcW w:w="1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Due After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Accrued interest receivable on cash equivalents was $82 and $53 at June 30, 2026 and December 31, 2025, respectively, and is included within other receivables in the Condensed Consolidated Balance Sheets.</w:t>
      </w:r>
    </w:p>
    <w:p>
      <w:pPr>
        <w:pStyle w:val="TextBody"/>
        <w:bidi w:val="0"/>
        <w:spacing w:lineRule="auto" w:line="288" w:before="0" w:after="200"/>
        <w:jc w:val="both"/>
        <w:rPr>
          <w:rFonts w:ascii="Times New Roman;serif" w:hAnsi="Times New Roman;serif"/>
          <w:b w:val="false"/>
          <w:i/>
          <w:color w:val="231F20"/>
          <w:sz w:val="20"/>
        </w:rPr>
      </w:pPr>
      <w:r>
        <w:rPr>
          <w:rFonts w:ascii="Times New Roman;serif" w:hAnsi="Times New Roman;serif"/>
          <w:b w:val="false"/>
          <w:i/>
          <w:color w:val="231F20"/>
          <w:sz w:val="20"/>
        </w:rPr>
        <w:t>Fair Value Measurements</w:t>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the carrying amounts of the Company’s recurring and non-recurring fair value measurements at June 30, 2026 and December 31, 2025:</w:t>
      </w:r>
    </w:p>
    <w:tbl>
      <w:tblPr>
        <w:tblW w:w="8183" w:type="dxa"/>
        <w:jc w:val="left"/>
        <w:tblInd w:w="0" w:type="dxa"/>
        <w:tblLayout w:type="fixed"/>
        <w:tblCellMar>
          <w:top w:w="28" w:type="dxa"/>
          <w:left w:w="28" w:type="dxa"/>
          <w:bottom w:w="28" w:type="dxa"/>
          <w:right w:w="28" w:type="dxa"/>
        </w:tblCellMar>
      </w:tblPr>
      <w:tblGrid>
        <w:gridCol w:w="1272"/>
        <w:gridCol w:w="1117"/>
        <w:gridCol w:w="1121"/>
        <w:gridCol w:w="211"/>
        <w:gridCol w:w="721"/>
        <w:gridCol w:w="109"/>
        <w:gridCol w:w="109"/>
        <w:gridCol w:w="109"/>
        <w:gridCol w:w="109"/>
        <w:gridCol w:w="213"/>
        <w:gridCol w:w="411"/>
        <w:gridCol w:w="110"/>
        <w:gridCol w:w="109"/>
        <w:gridCol w:w="109"/>
        <w:gridCol w:w="109"/>
        <w:gridCol w:w="211"/>
        <w:gridCol w:w="721"/>
        <w:gridCol w:w="109"/>
        <w:gridCol w:w="109"/>
        <w:gridCol w:w="109"/>
        <w:gridCol w:w="109"/>
        <w:gridCol w:w="246"/>
        <w:gridCol w:w="475"/>
        <w:gridCol w:w="155"/>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Optional redemption 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8017" w:type="dxa"/>
        <w:jc w:val="left"/>
        <w:tblInd w:w="0" w:type="dxa"/>
        <w:tblLayout w:type="fixed"/>
        <w:tblCellMar>
          <w:top w:w="28" w:type="dxa"/>
          <w:left w:w="28" w:type="dxa"/>
          <w:bottom w:w="28" w:type="dxa"/>
          <w:right w:w="28" w:type="dxa"/>
        </w:tblCellMar>
      </w:tblPr>
      <w:tblGrid>
        <w:gridCol w:w="1212"/>
        <w:gridCol w:w="1064"/>
        <w:gridCol w:w="1068"/>
        <w:gridCol w:w="211"/>
        <w:gridCol w:w="721"/>
        <w:gridCol w:w="109"/>
        <w:gridCol w:w="109"/>
        <w:gridCol w:w="109"/>
        <w:gridCol w:w="109"/>
        <w:gridCol w:w="213"/>
        <w:gridCol w:w="411"/>
        <w:gridCol w:w="110"/>
        <w:gridCol w:w="109"/>
        <w:gridCol w:w="109"/>
        <w:gridCol w:w="109"/>
        <w:gridCol w:w="211"/>
        <w:gridCol w:w="721"/>
        <w:gridCol w:w="109"/>
        <w:gridCol w:w="109"/>
        <w:gridCol w:w="109"/>
        <w:gridCol w:w="109"/>
        <w:gridCol w:w="246"/>
        <w:gridCol w:w="475"/>
        <w:gridCol w:w="155"/>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option 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There were no transfers between levels for the six months ended June 30, 2026 and twelve months ended December 31, 2025.</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measures its investments (including cash equivalents, marketable securities, and non-current investments) at fair value on a recurring basis and classifies those instruments within Level 2 of the fair value hierarchy. Investment securities, including U.S. Treasury Bills purchased in the secondary market and U.S. Treasury bonds,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measures its private derivative warrants on a recurring basis and classifies those instruments within Level 2 of the fair value hierarchy because the valuation is based on the observable input of a similar instrument. The Company measures its convertible note warrant derivative liability, optional redemption derivative liability and conversion option derivative liability on a recurring basis and classifies those instruments within level 3 of the fair value hierarchy because unobservable inputs are used to measure fair value. See Note 2 for a summary of the Company’s policies relating to fair value measurements, and Note 11 for more detail on the convertible note warrant, optional redemption, and conversion option derivative liabilities.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information about the Company’s Level 3 financial liabilities that are measured at fair value on a recurring basis at June 30, 2026:</w:t>
      </w:r>
    </w:p>
    <w:tbl>
      <w:tblPr>
        <w:tblW w:w="7931" w:type="dxa"/>
        <w:jc w:val="left"/>
        <w:tblInd w:w="0" w:type="dxa"/>
        <w:tblLayout w:type="fixed"/>
        <w:tblCellMar>
          <w:top w:w="28" w:type="dxa"/>
          <w:left w:w="28" w:type="dxa"/>
          <w:bottom w:w="28" w:type="dxa"/>
          <w:right w:w="28" w:type="dxa"/>
        </w:tblCellMar>
      </w:tblPr>
      <w:tblGrid>
        <w:gridCol w:w="1449"/>
        <w:gridCol w:w="1276"/>
        <w:gridCol w:w="1279"/>
        <w:gridCol w:w="109"/>
        <w:gridCol w:w="109"/>
        <w:gridCol w:w="109"/>
        <w:gridCol w:w="109"/>
        <w:gridCol w:w="109"/>
        <w:gridCol w:w="109"/>
        <w:gridCol w:w="389"/>
        <w:gridCol w:w="1330"/>
        <w:gridCol w:w="201"/>
        <w:gridCol w:w="109"/>
        <w:gridCol w:w="109"/>
        <w:gridCol w:w="109"/>
        <w:gridCol w:w="109"/>
        <w:gridCol w:w="109"/>
        <w:gridCol w:w="109"/>
        <w:gridCol w:w="109"/>
        <w:gridCol w:w="109"/>
        <w:gridCol w:w="109"/>
        <w:gridCol w:w="109"/>
        <w:gridCol w:w="109"/>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included in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included in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June 30, 2026 and December 31, 2025, the optional redemption and conversion option derivative were valued using a Black-Scholes, which is considered to be a Level 3 fair value measurement. A summary of the level 3 fair value measurements inputs used in the valuations is as follows:</w:t>
      </w:r>
    </w:p>
    <w:tbl>
      <w:tblPr>
        <w:tblW w:w="6873" w:type="dxa"/>
        <w:jc w:val="left"/>
        <w:tblInd w:w="0" w:type="dxa"/>
        <w:tblLayout w:type="fixed"/>
        <w:tblCellMar>
          <w:top w:w="28" w:type="dxa"/>
          <w:left w:w="28" w:type="dxa"/>
          <w:bottom w:w="28" w:type="dxa"/>
          <w:right w:w="28" w:type="dxa"/>
        </w:tblCellMar>
      </w:tblPr>
      <w:tblGrid>
        <w:gridCol w:w="488"/>
        <w:gridCol w:w="428"/>
        <w:gridCol w:w="434"/>
        <w:gridCol w:w="109"/>
        <w:gridCol w:w="109"/>
        <w:gridCol w:w="109"/>
        <w:gridCol w:w="109"/>
        <w:gridCol w:w="109"/>
        <w:gridCol w:w="182"/>
        <w:gridCol w:w="182"/>
        <w:gridCol w:w="182"/>
        <w:gridCol w:w="182"/>
        <w:gridCol w:w="182"/>
        <w:gridCol w:w="182"/>
        <w:gridCol w:w="182"/>
        <w:gridCol w:w="1226"/>
        <w:gridCol w:w="635"/>
        <w:gridCol w:w="1843"/>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704" w:type="dxa"/>
            <w:gridSpan w:val="3"/>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Optional Redemption Derivative Liability</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0" w:type="dxa"/>
        <w:jc w:val="left"/>
        <w:tblInd w:w="0" w:type="dxa"/>
        <w:tblLayout w:type="fixed"/>
        <w:tblCellMar>
          <w:top w:w="28" w:type="dxa"/>
          <w:left w:w="28" w:type="dxa"/>
          <w:bottom w:w="28" w:type="dxa"/>
          <w:right w:w="28" w:type="dxa"/>
        </w:tblCellMar>
      </w:tblPr>
      <w:tblGrid>
        <w:gridCol w:w="488"/>
        <w:gridCol w:w="428"/>
        <w:gridCol w:w="434"/>
        <w:gridCol w:w="109"/>
        <w:gridCol w:w="287"/>
        <w:gridCol w:w="287"/>
        <w:gridCol w:w="287"/>
        <w:gridCol w:w="287"/>
        <w:gridCol w:w="287"/>
        <w:gridCol w:w="288"/>
        <w:gridCol w:w="109"/>
        <w:gridCol w:w="109"/>
        <w:gridCol w:w="109"/>
        <w:gridCol w:w="109"/>
        <w:gridCol w:w="109"/>
        <w:gridCol w:w="109"/>
        <w:gridCol w:w="109"/>
        <w:gridCol w:w="1157"/>
        <w:gridCol w:w="598"/>
        <w:gridCol w:w="1740"/>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258" w:type="dxa"/>
            <w:gridSpan w:val="10"/>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Conversion Option Derivative Liability</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3.56</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Uncertainty of Fair Value Measurement from Use of Significant Unobservable Inputs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inputs to estimate the fair value of the Company’s conversion option and optional redemption derivative liabilities were the market price of the Company’s common stock, their remaining expected term, the volatility of the Company’s common stock price and the risk-free interest rate over the expected term. Significant changes in any of those inputs in isolation can result in a significant change in the fair value measurement.</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8. Property and Equipment, Net</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Property and </w:t>
      </w:r>
      <w:r>
        <w:rPr>
          <w:rFonts w:ascii="Times New Roman;serif" w:hAnsi="Times New Roman;serif"/>
          <w:b w:val="false"/>
          <w:color w:val="000000"/>
          <w:sz w:val="20"/>
        </w:rPr>
        <w:t>equipment</w:t>
      </w:r>
      <w:r>
        <w:rPr>
          <w:rFonts w:ascii="Times New Roman;serif" w:hAnsi="Times New Roman;serif"/>
          <w:b w:val="false"/>
          <w:color w:val="231F20"/>
          <w:sz w:val="20"/>
        </w:rPr>
        <w:t>, net, consist of the following:</w:t>
      </w:r>
    </w:p>
    <w:tbl>
      <w:tblPr>
        <w:tblW w:w="10205" w:type="dxa"/>
        <w:jc w:val="left"/>
        <w:tblInd w:w="0" w:type="dxa"/>
        <w:tblLayout w:type="fixed"/>
        <w:tblCellMar>
          <w:top w:w="28" w:type="dxa"/>
          <w:left w:w="28" w:type="dxa"/>
          <w:bottom w:w="28" w:type="dxa"/>
          <w:right w:w="28" w:type="dxa"/>
        </w:tblCellMar>
      </w:tblPr>
      <w:tblGrid>
        <w:gridCol w:w="1078"/>
        <w:gridCol w:w="941"/>
        <w:gridCol w:w="945"/>
        <w:gridCol w:w="1188"/>
        <w:gridCol w:w="1187"/>
        <w:gridCol w:w="1190"/>
        <w:gridCol w:w="109"/>
        <w:gridCol w:w="109"/>
        <w:gridCol w:w="109"/>
        <w:gridCol w:w="256"/>
        <w:gridCol w:w="878"/>
        <w:gridCol w:w="132"/>
        <w:gridCol w:w="109"/>
        <w:gridCol w:w="109"/>
        <w:gridCol w:w="109"/>
        <w:gridCol w:w="340"/>
        <w:gridCol w:w="1162"/>
        <w:gridCol w:w="254"/>
      </w:tblGrid>
      <w:tr>
        <w:trPr/>
        <w:tc>
          <w:tcPr>
            <w:tcW w:w="10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35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60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5,106 </w:t>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w:t>
            </w:r>
          </w:p>
        </w:tc>
        <w:tc>
          <w:tcPr>
            <w:tcW w:w="3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3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60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ROU assets</w:t>
            </w:r>
          </w:p>
        </w:tc>
        <w:tc>
          <w:tcPr>
            <w:tcW w:w="3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(10,926)</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3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Depreciation expense for the three months ended June 30, 2026 and 2025 was $1,122 and $1,032, respectively. Depreciation expense for the six months ended June 30, 2026 and 2025 was $2,023 and $2,042,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9. Accrued Expenses and Other Current Liabilities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Accrued expenses and other current liabilities as of June 30, 2026 and December 31, 2025 consist of the following:</w:t>
      </w:r>
    </w:p>
    <w:tbl>
      <w:tblPr>
        <w:tblW w:w="9010" w:type="dxa"/>
        <w:jc w:val="left"/>
        <w:tblInd w:w="0" w:type="dxa"/>
        <w:tblLayout w:type="fixed"/>
        <w:tblCellMar>
          <w:top w:w="28" w:type="dxa"/>
          <w:left w:w="28" w:type="dxa"/>
          <w:bottom w:w="28" w:type="dxa"/>
          <w:right w:w="28" w:type="dxa"/>
        </w:tblCellMar>
      </w:tblPr>
      <w:tblGrid>
        <w:gridCol w:w="2041"/>
        <w:gridCol w:w="1795"/>
        <w:gridCol w:w="1803"/>
        <w:gridCol w:w="258"/>
        <w:gridCol w:w="883"/>
        <w:gridCol w:w="133"/>
        <w:gridCol w:w="109"/>
        <w:gridCol w:w="109"/>
        <w:gridCol w:w="109"/>
        <w:gridCol w:w="344"/>
        <w:gridCol w:w="1175"/>
        <w:gridCol w:w="251"/>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including bonuses, fringe benefits, and payroll taxes</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reserve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and officers insurance premiums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and contingent consideration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advances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capitated leakage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sub-capitation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agreed to indemnify members of the Board and certain officers if they are named or threatened to be named as a party to any proceeding by reason of the fact that they acted in such capacity. The Company entered into a $964 financing arrangement beginning November 2025 with a maturity date of September 2026 at 7.49% annual interest rate to pay 11 monthly principal payments of approximately $80 to $90 in premiums for directors’ and officers’ (“D&amp;O”) insurance coverage through September 2026 to protect against such losses. The principal outstanding balance was $270 and $794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10. Leases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leases clinics, office buildings, and certain equipment under noncancellable financing and operating lease agreements that expire at various dates through June 2033.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initial terms of operating leases range from 1 to 10 years and certain leases provide for free rent periods, periodic rent increases, and renewal options. Monthly payments for these leases range from </w:t>
      </w:r>
      <w:r>
        <w:rPr>
          <w:rFonts w:ascii="Times New Roman;serif" w:hAnsi="Times New Roman;serif"/>
          <w:b w:val="false"/>
          <w:color w:val="231F20"/>
          <w:sz w:val="20"/>
        </w:rPr>
        <w:t>$2</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231F20"/>
          <w:sz w:val="20"/>
        </w:rPr>
        <w:t>$64</w:t>
      </w:r>
      <w:r>
        <w:rPr>
          <w:rFonts w:ascii="Times New Roman;serif" w:hAnsi="Times New Roman;serif"/>
          <w:b w:val="false"/>
          <w:color w:val="231F20"/>
          <w:sz w:val="24"/>
        </w:rPr>
        <w:t xml:space="preserve">. </w:t>
      </w:r>
      <w:r>
        <w:rPr>
          <w:rFonts w:ascii="Times New Roman;serif" w:hAnsi="Times New Roman;serif"/>
          <w:b w:val="false"/>
          <w:color w:val="231F20"/>
          <w:sz w:val="20"/>
        </w:rPr>
        <w:t xml:space="preserve">All lease agreements generally require the Company to pay maintenance, repairs, property taxes, and insurance costs, which are generally variable amounts based on actual costs incurred during each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determined that periods covered by options to extend the Company's leases are excluded from the lease terms as it is not reasonably certain the Company will exercise such options.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Expense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components of lease expense were as follows for the three and six months ended June 30, 2026 and 2025: </w:t>
      </w:r>
    </w:p>
    <w:tbl>
      <w:tblPr>
        <w:tblW w:w="7671" w:type="dxa"/>
        <w:jc w:val="left"/>
        <w:tblInd w:w="0" w:type="dxa"/>
        <w:tblLayout w:type="fixed"/>
        <w:tblCellMar>
          <w:top w:w="28" w:type="dxa"/>
          <w:left w:w="28" w:type="dxa"/>
          <w:bottom w:w="28" w:type="dxa"/>
          <w:right w:w="28" w:type="dxa"/>
        </w:tblCellMar>
      </w:tblPr>
      <w:tblGrid>
        <w:gridCol w:w="831"/>
        <w:gridCol w:w="731"/>
        <w:gridCol w:w="732"/>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lease costs: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Operating and other lease costs are presented as part of selling, general, and administrative expenses. The components of finance lease costs appear in depreciation and amortization and interest expense.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Maturity of Lease Liabilities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aggregate future lease payments for the Company's leases in years subsequent to June 30, 2026 are as follows: </w:t>
      </w:r>
    </w:p>
    <w:tbl>
      <w:tblPr>
        <w:tblW w:w="7724" w:type="dxa"/>
        <w:jc w:val="left"/>
        <w:tblInd w:w="0" w:type="dxa"/>
        <w:tblLayout w:type="fixed"/>
        <w:tblCellMar>
          <w:top w:w="28" w:type="dxa"/>
          <w:left w:w="28" w:type="dxa"/>
          <w:bottom w:w="28" w:type="dxa"/>
          <w:right w:w="28" w:type="dxa"/>
        </w:tblCellMar>
      </w:tblPr>
      <w:tblGrid>
        <w:gridCol w:w="1700"/>
        <w:gridCol w:w="1497"/>
        <w:gridCol w:w="1498"/>
        <w:gridCol w:w="322"/>
        <w:gridCol w:w="1101"/>
        <w:gridCol w:w="166"/>
        <w:gridCol w:w="418"/>
        <w:gridCol w:w="715"/>
        <w:gridCol w:w="307"/>
      </w:tblGrid>
      <w:tr>
        <w:trPr/>
        <w:tc>
          <w:tcPr>
            <w:tcW w:w="170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amount representing interest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future lease payment (lease liabilities)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Term and Discount Rate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provides the weighted average remaining lease terms and weighted average discount rates for the Company's leases as of June 30, 2026 and 2025:</w:t>
      </w:r>
    </w:p>
    <w:tbl>
      <w:tblPr>
        <w:tblW w:w="6719" w:type="dxa"/>
        <w:jc w:val="left"/>
        <w:tblInd w:w="0" w:type="dxa"/>
        <w:tblLayout w:type="fixed"/>
        <w:tblCellMar>
          <w:top w:w="28" w:type="dxa"/>
          <w:left w:w="28" w:type="dxa"/>
          <w:bottom w:w="28" w:type="dxa"/>
          <w:right w:w="28" w:type="dxa"/>
        </w:tblCellMar>
      </w:tblPr>
      <w:tblGrid>
        <w:gridCol w:w="1495"/>
        <w:gridCol w:w="1312"/>
        <w:gridCol w:w="1317"/>
        <w:gridCol w:w="282"/>
        <w:gridCol w:w="282"/>
        <w:gridCol w:w="711"/>
        <w:gridCol w:w="268"/>
        <w:gridCol w:w="268"/>
        <w:gridCol w:w="78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7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7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7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605" cy="14605"/>
                <wp:effectExtent l="0" t="0" r="0" b="0"/>
                <wp:wrapNone/>
                <wp:docPr id="22" name="Frame2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Supplemental Cash Flow Information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provides certain cash flow and supplemental noncash information related to the Company's lease liabilities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720"/>
        <w:gridCol w:w="1513"/>
        <w:gridCol w:w="1505"/>
        <w:gridCol w:w="536"/>
        <w:gridCol w:w="1568"/>
        <w:gridCol w:w="277"/>
        <w:gridCol w:w="536"/>
        <w:gridCol w:w="1568"/>
        <w:gridCol w:w="277"/>
        <w:gridCol w:w="109"/>
        <w:gridCol w:w="109"/>
        <w:gridCol w:w="109"/>
        <w:gridCol w:w="109"/>
        <w:gridCol w:w="109"/>
        <w:gridCol w:w="160"/>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w:t>
            </w:r>
          </w:p>
        </w:tc>
        <w:tc>
          <w:tcPr>
            <w:tcW w:w="2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payment for operating leases</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payments for finance leases</w:t>
            </w:r>
          </w:p>
        </w:tc>
        <w:tc>
          <w:tcPr>
            <w:tcW w:w="2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5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Lease Modifications</w:t>
      </w:r>
    </w:p>
    <w:p>
      <w:pPr>
        <w:pStyle w:val="TextBody"/>
        <w:bidi w:val="0"/>
        <w:spacing w:lineRule="auto" w:line="268" w:before="0" w:after="200"/>
        <w:ind w:left="0" w:right="0" w:firstLine="360"/>
        <w:jc w:val="both"/>
        <w:rPr/>
      </w:pPr>
      <w:r>
        <w:rPr>
          <w:rFonts w:ascii="Times New Roman;serif" w:hAnsi="Times New Roman;serif"/>
          <w:b w:val="false"/>
          <w:color w:val="000000"/>
          <w:sz w:val="20"/>
        </w:rPr>
        <w:t xml:space="preserve">During the six months ended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the Company extended its lease terms for </w:t>
      </w:r>
      <w:r>
        <w:rPr>
          <w:rFonts w:ascii="Times New Roman;serif" w:hAnsi="Times New Roman;serif"/>
          <w:b w:val="false"/>
          <w:color w:val="231F20"/>
          <w:sz w:val="20"/>
        </w:rPr>
        <w:t>four</w:t>
      </w:r>
      <w:r>
        <w:rPr>
          <w:color w:val="000000"/>
        </w:rPr>
        <w:t xml:space="preserve"> </w:t>
      </w:r>
      <w:r>
        <w:rPr>
          <w:rFonts w:ascii="Times New Roman;serif" w:hAnsi="Times New Roman;serif"/>
          <w:b w:val="false"/>
          <w:color w:val="000000"/>
          <w:sz w:val="20"/>
        </w:rPr>
        <w:t xml:space="preserve">clinics in Florida and two clinic in California. These extensions constitute lease modifications that qualify as a change of accounting for the original leases and not separate contracts. Accordingly, for the six months ended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 xml:space="preserve">the Company recognized the difference of $1,342 as an increase to the operating lease liability and to the operating lease right-of-use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11. Debt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Senior Secured Convertible Note</w:t>
      </w:r>
    </w:p>
    <w:p>
      <w:pPr>
        <w:pStyle w:val="TextBody"/>
        <w:bidi w:val="0"/>
        <w:spacing w:lineRule="auto" w:line="288" w:before="0" w:after="200"/>
        <w:ind w:left="0" w:right="0" w:firstLine="360"/>
        <w:jc w:val="both"/>
        <w:rPr/>
      </w:pPr>
      <w:r>
        <w:rPr>
          <w:rFonts w:ascii="Times New Roman;serif" w:hAnsi="Times New Roman;serif"/>
          <w:b w:val="false"/>
          <w:color w:val="000000"/>
          <w:sz w:val="20"/>
        </w:rPr>
        <w:t>On August 9, 2022, Starling</w:t>
      </w:r>
      <w:r>
        <w:rPr>
          <w:color w:val="000000"/>
        </w:rPr>
        <w:t xml:space="preserve"> </w:t>
      </w:r>
      <w:r>
        <w:rPr>
          <w:rFonts w:ascii="Times New Roman;serif" w:hAnsi="Times New Roman;serif"/>
          <w:b w:val="false"/>
          <w:color w:val="000000"/>
          <w:sz w:val="20"/>
        </w:rPr>
        <w:t>entered into a Facility Agreement (the “Facility Agreement”) with certain lenders (“Lenders”) and Deerfield Partners L.P. (“Agent”), pursuant to which, Starling obtained cash loans from the Lenders in the amount of $110,000, in exchange for which, Starling issued to each Lender a secured convertible promissory note (each, a“Senior Secured Convertible Note”), payable to such Lenders in an amount equal to the unpaid principal amount of loans held by such Lender.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Notes mature on August 9, 2027 (the “Maturity Date”) and bear interest at the rate of 4.00% per annum from August 9, 2022, on the outstanding principal amount, any overdue interest and any other amounts and obligations. Starting on October 1, 2022, the interest is paid in cash quarterly in arrears. In case of any prepayment, repayment or redemption of the Senior Secured Convertible Notes, the Company is obligated to pay any accrued and unpaid interest on the principal, along with a make whole amount and an exit fee.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Facility Agreement requires the Company to meet certain operational and reporting requirements, including, but not limited to, customary regulatory, financial reporting, and disclosure requirements. Additionally, limitations are placed on the Company's ability to merge with other companies and enter into other debt arrangements and permitted investments are limited to amounts specified in the Facility Agreement. The Facility Agreement also provides certain restrictions on dividend payments and equity transactions and requires the Company to make prepayments under specified circumstances. Financial covenants in the Facility Agreement require the Company to maintain minimum net quarterly revenues of $100,000 during fiscal year 2026 and thereafter. Additionally, the Company entered into a registration rights agreement with the parties to the Facility Agreement that requires the Company for the resales by the Lenders of shares of common stock issued or issuable upon conversion or exercise of the Senior Secured Convertible Notes or the warrants issuable under the Facility Agreement and calls certain penalties for failure to maintain the effectiveness of the registration statement.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2025, the Company, the Lenders, and the Agent, entered into the Limited Consent and Amendment No. 1 to Facility Agreement (the “Consent and Amendment”), which amended the Facility Agreement, dated as of August 9, 2022. The Consent and Amendment, among other things, provided for (i) Lenders’ consents to the waiver of certain restrictions imposed by the Facility Agreement regarding the issuance and sale of the Company’s equity and equity-linked securities, (ii) the removal of a financial covenant that required the Company to hold at least $40,000 of cash or cash equivalents in accounts that were subject to control agreements in favor of the Agent, (iii) amendment and restatement of the Company’s financial reporting covenant under the Facility Agreement in its entirety, and (iv) granting participation rights permitting the Lenders to purchase common stock and/or warrants exercisable for common stock in up to two equity offerings that occurred by no later than February 26, 2026 (“Participation Rights”). The Consent and Amendment was accounted for as a debt modification in accordance with ASC 470.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Consent and Amendment, the Company executed the Optional Redemption feature (as described below) and made a partial prepayment of the Senior Secured Convertible Notes issued pursuant to the Facility Agreement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principal amount of approximately $20,000 together with accrued and unpaid interest thereon. As part of the prepayment, the Lenders also waived any and all make whole amounts that would otherwise be due and owing thereto under the Facility Documents in respect of the prepayment. As a result of the prepayment, the Company recognized a loss on extinguishment of debt within interest expense of $2,900 during the quarter ended March 31, 2025, which consisted of a proportionate write-off of unamortized financing costs related to the Facility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on March 24, 2025, in connection with the Private Placement (described in Note 13. Stockholders’ Equity) certain Lenders exercised participation rights and entered into an exchange agreement pursuant to which such Lenders agreed to exchange approximately $4,100 aggregate principal amount of the Senior Secured Convertible Notes for 37,232.83 shares of common-equivalent Preferred Stock (convertible into 3,723,283 shares of Common Stock) and warrants to purchase 1,861,642 shares of Common Stock at the same prices being paid by the investors in the Private Placement. The fair value of the common-equivalent Preferred Stock and warrants issued was $4,100. The exchange was accounted for as a partial debt extinguishment under ASC 470. As a result, the Company recognized a loss on extinguishment of debt within interest expense of $600 during the three months ended March 31, 2025, which consisted of a proportionate write-off of unamortized financing costs related to the Facility Agreement.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the covenants of the Facility Agreement (as amended) as of June 30, 2026.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July 1, 2026, the Company repaid approximately $86 million aggregate principal amount of the Senior Secured Convertible Notes, which represented the entire aggregate amount outstanding.</w:t>
      </w:r>
      <w:r>
        <w:rPr>
          <w:color w:val="000000"/>
        </w:rPr>
        <w:t xml:space="preserve"> </w:t>
      </w:r>
      <w:r>
        <w:rPr>
          <w:rFonts w:ascii="Times New Roman;serif" w:hAnsi="Times New Roman;serif"/>
          <w:b w:val="false"/>
          <w:color w:val="000000"/>
          <w:sz w:val="20"/>
        </w:rPr>
        <w:t>See Note 20. Subsequent Events for more information</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Conversion Options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Notes contain several embedded conversion options (the “Conversion Options”) that grant the holders of the Senior Secured Convertible Notes the ability to convert the Senior Secured Convertible Notes at any time on or after the date of issuance of the notes. The Conversion Options are convertible into shares of the Company’s common stock (such converted shares, “Conversion Shares”) and, in certain circumstances, a combination of cash and shares of the Company’s common stock, or a combination of cash, other assets and securities or other property of any Company successor entity. The Conversion Shares or settlement amounts shall be computed on the basis of a predefined formula, with a set conversion price of $8.567 as one of the inputs and a conversion cap of 14,663,019 shares. The if-converted value did not exceed the principal amount as of June 30, 2026. No Conversion Shares were issued as of June 30,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Conversion Options of the Senior Secured Convertible Notes under ASC 815 and concluded that they require bifurcation from the host contract as a separate unit of account. The Conversion Options do not meet the criteria to be classified in shareholders’ equity and hence, are accounted for as a derivative liability remeasured at fair value at each balance sheet date with changes in fair value reported in earnings.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Options contain certain limits on exercise if, after giving effect to the exercise, the Lender would beneficially own a number of shares of common stock of the Company in excess of those permissible under the terms of the Senior Secured Convertible Notes. The number of shares to be issued against these notes and conversion price are each subject to adjustments provided under the terms of Senior Secured Convertible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 shall receive dividends on the Senior Secured Convertible Notes and distributions of any kind made to the holders of common stock, other than dividends of, or distributions in, shares, to the same extent as if the holder had converted the Senior Secured Convertible Notes into such shares and had held such shares on the record date for such dividends and distributions any limitations on conversion options.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Optional Redemption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Facility Agreement also provides the Company the right to redeem the outstanding principal amount of each note (“Optional Redemption”) for the Optional Redemption Price. The Company may not effect any such Optional Redemption unless, the Company also effects an optional redemption under all other notes in accordance with the terms thereof, on a pro rata basis, based upon the respective applicable original principal amount of each of the notes outstanding as of the date the notice for Optional Redemption is delivered to the 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Optional Redemption feature of the Senior Secured Convertible Notes under ASC 815 and concluded that it requires bifurcation from the host contract as a separate unit of account. The Optional Redemption feature does not meet the criteria to be classified in shareholders’ equity and hence, is accounted for as a derivative liability remeasured at fair value at each balance sheet date with changes in fair value reported in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principal redemption amount specified in an Optional Redemption notice is less than the entire principal amount then outstanding, the principal amount specified in each conversion notice shall be applied (i) first, to reduce, on a dollar-for-dollar basis, the principal amount of the note in excess of the principal redemption amount until such excess principal amount is reduced to zero and (ii) to reduce, on a dollar-for-dollar basis, the principal redemption amount until all of such principal redemption amount shall have been converted.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Convertible Note Warrants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Facility Agreement also provides for the issuance of warrants (the “Convertible Note Warrants”) on each date any principal amount of any Senior Secured Convertible Note is paid, repaid, redeemed, or prepaid at any time prior to the Maturity Date. Convertible Note Warrants are exercisable from their original issue date to August 9, 2027, for purchase of an aggregate amount of Conversion Shares into which such principal amount of Senior Secured Convertible Note was convertible, immediately prior to such payment, at an exercise price of $8.567.</w:t>
      </w:r>
      <w:r>
        <w:rPr>
          <w:color w:val="000000"/>
        </w:rPr>
        <w:t xml:space="preserve"> </w:t>
      </w:r>
      <w:r>
        <w:rPr>
          <w:rFonts w:ascii="Times New Roman;serif" w:hAnsi="Times New Roman;serif"/>
          <w:b w:val="false"/>
          <w:color w:val="000000"/>
          <w:sz w:val="20"/>
        </w:rPr>
        <w:t xml:space="preserve">The holder of Convertible Note Warrants may pay the exercise price in cash or exercise the warrant on a cashless basis or through a reduction of an amount of principal outstanding under any Senior Secured Convertible Note held by such holder. In the event that the Convertible Note Warrant has not been exercised in full as of the last business day during its term, the holder shall be deemed to have exercised the purchase rights represented by the Convertible Note Warrant in full as a cashless exercise, in which event the Company shall issue the number of shares to the holder computed on the basis of a predefined formula.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Convertible Note Warrants of the Senior Secured Convertible Note under ASC 815 and concluded that they require bifurcation from the host contract as a separate unit of account. The Convertible Note Warrants do not meet the criteria to be classified in shareholders’ equity and hence, are accounted for as a derivative liability remeasured at fair value at each balance sheet date with changes in fair value reported in earnings.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 Warrant holder shall be entitled to receive any dividend or distribution made by the Company to the holders of common stock to the same extent as if the holder had exercised the Convertible Note Warrants in full in a cash exercise.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shares to be issued against these warrants and exercise price are each subject to adjustments provided under the terms of Convertible Note Warrants. The Convertible Note Warrants contain certain limits on exercise if, after giving effect to the exercise, the Lender would beneficially own a number of shares of common stock of the Company in excess of those permissible under the terms of the Convertible Note Warrants. Further, the Convertible Note Warrants can be fully or partially settled in cash in certain cases in accordance with the terms of issuance such as when shares issuable upon exercise of the warrants exceed a predefined number, upon occurrence of predefined events of default and upon occurrence of predefined events that will bring a fundamental change in the Company such as merger, consolidation, business combination, recapitalization, reorganization, reclassification or other similar event.</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 xml:space="preserve">December 31, 2025, there were no Convertible Note Warrants outstanding, respectively. See Note 20 - Subsequent Events.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Allocation of Proceeds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allocated total issuance proceeds of $110,000 among the Senior Secured Convertible Note and Convertible Note Warrants based on fair value. Upon issuance of the Convertible Note Warrants, the Company recorded Convertible Note Warrants, Optional Redemption, and Conversion Options of $0, $0 and $28,160, which were recorded as a debt discount to the Senior Secured Convertible Note of $110,000. The Company will amortize the debt discount over a period of 5 years (of which 1.10 years remain).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issuance costs of $4,924 were allocated among the Senior Secured Convertible Note, Convertible Note Warrants, Optional Redemption, and Conversion Options, by allocating costs of $0, $0, and $1,261 to the Convertible Note Warrants, Optional Redemption, and Conversion Options with the residual cost of $3,663 being allocated to the Senior Secured Convertible Note (in addition to the debt discount). The Company expensed issuance costs allocated to Warrants, Optional Redemption, and Conversion Options at inception and amortizes the costs allocated to the Senior Secured Convertible Notes over a period of 5 years (of which 1.10 remain).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Amounts Outstanding and Recognized during the Periods Presented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Secured Convertible Notes as of June 30, 2026 and December 31, 2025 consists of the following:</w:t>
      </w:r>
    </w:p>
    <w:tbl>
      <w:tblPr>
        <w:tblW w:w="9205" w:type="dxa"/>
        <w:jc w:val="left"/>
        <w:tblInd w:w="0" w:type="dxa"/>
        <w:tblLayout w:type="fixed"/>
        <w:tblCellMar>
          <w:top w:w="28" w:type="dxa"/>
          <w:left w:w="28" w:type="dxa"/>
          <w:bottom w:w="28" w:type="dxa"/>
          <w:right w:w="28" w:type="dxa"/>
        </w:tblCellMar>
      </w:tblPr>
      <w:tblGrid>
        <w:gridCol w:w="2112"/>
        <w:gridCol w:w="1859"/>
        <w:gridCol w:w="1863"/>
        <w:gridCol w:w="258"/>
        <w:gridCol w:w="883"/>
        <w:gridCol w:w="133"/>
        <w:gridCol w:w="109"/>
        <w:gridCol w:w="109"/>
        <w:gridCol w:w="109"/>
        <w:gridCol w:w="344"/>
        <w:gridCol w:w="1175"/>
        <w:gridCol w:w="251"/>
      </w:tblGrid>
      <w:tr>
        <w:trPr/>
        <w:tc>
          <w:tcPr>
            <w:tcW w:w="211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Convertible Note, due August 9, 2027</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Long-term debt, net of unamortized debt discount and issuance costs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79,867 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77,400 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June 30, 2026 and </w:t>
      </w:r>
      <w:r>
        <w:rPr>
          <w:rFonts w:ascii="Times New Roman;serif" w:hAnsi="Times New Roman;serif"/>
          <w:b w:val="false"/>
          <w:color w:val="231F20"/>
          <w:sz w:val="20"/>
        </w:rPr>
        <w:t>2025</w:t>
      </w:r>
      <w:r>
        <w:rPr>
          <w:rFonts w:ascii="Times New Roman;serif" w:hAnsi="Times New Roman;serif"/>
          <w:b w:val="false"/>
          <w:color w:val="000000"/>
          <w:sz w:val="20"/>
        </w:rPr>
        <w:t xml:space="preserve">, the estimated fair value (Level 2) of the Senior Secured Convertible Notes was </w:t>
      </w:r>
      <w:r>
        <w:rPr>
          <w:rFonts w:ascii="Times New Roman;serif" w:hAnsi="Times New Roman;serif"/>
          <w:b w:val="false"/>
          <w:color w:val="231F20"/>
          <w:sz w:val="20"/>
        </w:rPr>
        <w:t>$85,889</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$73,991</w:t>
      </w:r>
      <w:r>
        <w:rPr>
          <w:rFonts w:ascii="Times New Roman;serif" w:hAnsi="Times New Roman;serif"/>
          <w:b w:val="false"/>
          <w:color w:val="000000"/>
          <w:sz w:val="20"/>
        </w:rPr>
        <w:t xml:space="preserve">, respectively. </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amortization of the debt issuance costs was charged to interest expense for all periods presented. For the three months ended June 30, 2026 and 2025, the effective yield was 10.64%. The amount of debt issuance costs included in interest expense for the three and six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was </w:t>
      </w:r>
      <w:r>
        <w:rPr>
          <w:rFonts w:ascii="Times New Roman;serif" w:hAnsi="Times New Roman;serif"/>
          <w:b w:val="false"/>
          <w:color w:val="000000"/>
          <w:sz w:val="20"/>
        </w:rPr>
        <w:t>$1,256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$2,467</w:t>
      </w:r>
      <w:r>
        <w:rPr>
          <w:rFonts w:ascii="Times New Roman;serif" w:hAnsi="Times New Roman;serif"/>
          <w:b w:val="false"/>
          <w:color w:val="231F20"/>
          <w:sz w:val="20"/>
        </w:rPr>
        <w:t xml:space="preserve">, respectively. The amount of debt issuance costs included in interest expense for the three and six months ended June 30, 2025 was $1,129 and $6,003, respectively. The Company had interest expense of </w:t>
      </w:r>
      <w:r>
        <w:rPr>
          <w:rFonts w:ascii="Times New Roman;serif" w:hAnsi="Times New Roman;serif"/>
          <w:b w:val="false"/>
          <w:color w:val="000000"/>
          <w:sz w:val="20"/>
        </w:rPr>
        <w:t>$868</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$1,727</w:t>
      </w:r>
      <w:r>
        <w:rPr>
          <w:color w:val="231F20"/>
        </w:rPr>
        <w:t xml:space="preserve"> </w:t>
      </w:r>
      <w:r>
        <w:rPr>
          <w:rFonts w:ascii="Times New Roman;serif" w:hAnsi="Times New Roman;serif"/>
          <w:b w:val="false"/>
          <w:color w:val="231F20"/>
          <w:sz w:val="20"/>
        </w:rPr>
        <w:t xml:space="preserve">on the Facility Agreement term loan for the three and six months ended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 had interest expense of </w:t>
      </w:r>
      <w:r>
        <w:rPr>
          <w:rFonts w:ascii="Times New Roman;serif" w:hAnsi="Times New Roman;serif"/>
          <w:b w:val="false"/>
          <w:color w:val="000000"/>
          <w:sz w:val="20"/>
        </w:rPr>
        <w:t>$863</w:t>
      </w:r>
      <w:r>
        <w:rPr>
          <w:color w:val="231F20"/>
        </w:rPr>
        <w:t xml:space="preserve"> </w:t>
      </w:r>
      <w:r>
        <w:rPr>
          <w:rFonts w:ascii="Times New Roman;serif" w:hAnsi="Times New Roman;serif"/>
          <w:b w:val="false"/>
          <w:color w:val="231F20"/>
          <w:sz w:val="20"/>
        </w:rPr>
        <w:t xml:space="preserve">and $1,878 on the Facility Agreement term loan for the three and six months ended June 30, 2025. There was </w:t>
      </w:r>
      <w:r>
        <w:rPr>
          <w:rFonts w:ascii="Times New Roman;serif" w:hAnsi="Times New Roman;serif"/>
          <w:b w:val="false"/>
          <w:color w:val="000000"/>
          <w:sz w:val="20"/>
        </w:rPr>
        <w:t>$868</w:t>
      </w:r>
      <w:r>
        <w:rPr>
          <w:color w:val="231F20"/>
        </w:rPr>
        <w:t xml:space="preserve"> </w:t>
      </w:r>
      <w:r>
        <w:rPr>
          <w:rFonts w:ascii="Times New Roman;serif" w:hAnsi="Times New Roman;serif"/>
          <w:b w:val="false"/>
          <w:color w:val="231F20"/>
          <w:sz w:val="20"/>
        </w:rPr>
        <w:t xml:space="preserve">of accrued interest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2025, respectively. There was $878 accrued interest as of December 31, 2025.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9, 2022, the Company also entered into the Guarantee and Security Agreement (“Guarantee Agreement”) with the Agent for the purpose of providing a guarantee of all the obligations under the Facility Agreement (refer to Note 15. Commitments and Contingencies for detail).</w:t>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Additionally, the Lenders' Agent holds shares of common and preferred stock of the Company as of June 30, 2026, and </w:t>
      </w:r>
      <w:r>
        <w:rPr>
          <w:rFonts w:ascii="Times New Roman;serif" w:hAnsi="Times New Roman;serif"/>
          <w:b w:val="false"/>
          <w:color w:val="231F20"/>
          <w:sz w:val="20"/>
        </w:rPr>
        <w:t>December 31, 2025</w:t>
      </w:r>
      <w:r>
        <w:rPr>
          <w:rFonts w:ascii="Times New Roman;serif" w:hAnsi="Times New Roman;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stated debt maturity related to the Senior Secured Convertible Notes as of June 30, 2026:</w:t>
      </w:r>
    </w:p>
    <w:tbl>
      <w:tblPr>
        <w:tblW w:w="3887" w:type="dxa"/>
        <w:jc w:val="left"/>
        <w:tblInd w:w="0" w:type="dxa"/>
        <w:tblLayout w:type="fixed"/>
        <w:tblCellMar>
          <w:top w:w="28" w:type="dxa"/>
          <w:left w:w="28" w:type="dxa"/>
          <w:bottom w:w="28" w:type="dxa"/>
          <w:right w:w="28" w:type="dxa"/>
        </w:tblCellMar>
      </w:tblPr>
      <w:tblGrid>
        <w:gridCol w:w="890"/>
        <w:gridCol w:w="784"/>
        <w:gridCol w:w="785"/>
        <w:gridCol w:w="109"/>
        <w:gridCol w:w="109"/>
        <w:gridCol w:w="109"/>
        <w:gridCol w:w="211"/>
        <w:gridCol w:w="73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85,889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12.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recorded income tax expense of $0 and $131 for the </w:t>
      </w:r>
      <w:r>
        <w:rPr>
          <w:rFonts w:ascii="Times New Roman;serif" w:hAnsi="Times New Roman;serif"/>
          <w:b w:val="false"/>
          <w:color w:val="231F20"/>
          <w:sz w:val="20"/>
        </w:rPr>
        <w:t>three months ended June 30, 2026 and 2025, respectively.</w:t>
      </w:r>
      <w:r>
        <w:rPr>
          <w:color w:val="000000"/>
        </w:rPr>
        <w:t xml:space="preserve"> </w:t>
      </w:r>
      <w:r>
        <w:rPr>
          <w:rFonts w:ascii="Times New Roman;serif" w:hAnsi="Times New Roman;serif"/>
          <w:b w:val="false"/>
          <w:color w:val="000000"/>
          <w:sz w:val="20"/>
        </w:rPr>
        <w:t xml:space="preserve">The Company's effective tax rate was 0% for the </w:t>
      </w:r>
      <w:r>
        <w:rPr>
          <w:rFonts w:ascii="Times New Roman;serif" w:hAnsi="Times New Roman;serif"/>
          <w:b w:val="false"/>
          <w:color w:val="231F20"/>
          <w:sz w:val="20"/>
        </w:rPr>
        <w:t>three months ended June 30, 2026 and 2025.</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Company's effective tax rate for the </w:t>
      </w:r>
      <w:r>
        <w:rPr>
          <w:rFonts w:ascii="Times New Roman;serif" w:hAnsi="Times New Roman;serif"/>
          <w:b w:val="false"/>
          <w:color w:val="231F20"/>
          <w:sz w:val="20"/>
        </w:rPr>
        <w:t xml:space="preserve">three months ended June 30, 2026 </w:t>
      </w:r>
      <w:r>
        <w:rPr>
          <w:rFonts w:ascii="Times New Roman;serif" w:hAnsi="Times New Roman;serif"/>
          <w:b w:val="false"/>
          <w:color w:val="000000"/>
          <w:sz w:val="20"/>
        </w:rPr>
        <w:t xml:space="preserve">was different than the U.S. federal statutory tax rate of 21.00%, primarily due to the change in the valuation allowance, partially offset by non-deductible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13. Stockholders' Equity (Deficit)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As of June 30, 2026, there were 102,202,753 shares issued and </w:t>
      </w:r>
      <w:r>
        <w:rPr>
          <w:rFonts w:ascii="Times New Roman;serif" w:hAnsi="Times New Roman;serif"/>
          <w:b w:val="false"/>
          <w:color w:val="000000"/>
          <w:sz w:val="20"/>
        </w:rPr>
        <w:t xml:space="preserve">100,468,979 shares outstanding of common stock. As of </w:t>
      </w:r>
      <w:r>
        <w:rPr>
          <w:rFonts w:ascii="Times New Roman;serif" w:hAnsi="Times New Roman;serif"/>
          <w:b w:val="false"/>
          <w:color w:val="231F20"/>
          <w:sz w:val="20"/>
        </w:rPr>
        <w:t xml:space="preserve">December 31, 2025, there were 100,596,918 shares issued and </w:t>
      </w:r>
      <w:r>
        <w:rPr>
          <w:rFonts w:ascii="Times New Roman;serif" w:hAnsi="Times New Roman;serif"/>
          <w:b w:val="false"/>
          <w:color w:val="000000"/>
          <w:sz w:val="20"/>
        </w:rPr>
        <w:t>98,863,144 shares outstanding</w:t>
      </w:r>
      <w:r>
        <w:rPr>
          <w:color w:val="231F20"/>
        </w:rPr>
        <w:t xml:space="preserve"> </w:t>
      </w:r>
      <w:r>
        <w:rPr>
          <w:rFonts w:ascii="Times New Roman;serif" w:hAnsi="Times New Roman;serif"/>
          <w:b w:val="false"/>
          <w:color w:val="231F20"/>
          <w:sz w:val="20"/>
        </w:rPr>
        <w:t xml:space="preserve">of common stock.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holders of the Company’s common stock are entitled to one vote for each share of common stock held at all meetings of stockholders (and written actions in lieu of meetings), and there is no cumulative voting.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Common stockholders are entitled to receive dividends whenever funds are legally available and when declared by the board of directors. No dividends have been declared as of June 30, 2026 and December 31, 2025.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Pursuant to the terms of the Amended and Restated Certificate of Incorporation, the Company authorized 10,000,000 shares of Series A Common Equivalent Preferred Stock (“Series A preferred stock”) with a par value and liquidation preference of $0.0001 per share. The Company’s board of directors has the authority, without further action by the stockholders to issue such shares of preferred stock in one or more series, to establish, from time to time the number of shares to be included in each such series, and to fix the dividend, voting, and other rights, preferences, and privileges of the shares. As of June 30, 2026 and December 31, 2025, there were 193,507 shares of preferred stock outstanding.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Each share of Series A preferred stock is convertible, at any time on the part of the holder except with respect to the Beneficial Ownership Limitation (defined below), into 100 shares of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Blocker/Beneficial Ownership Limitation</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Series A preferred stock is subject to a beneficial ownership limitation such that the preferred stock may not, at any time, be convertible into more than 4.9% of the total number of shares of common stock outstanding (“Beneficial Ownership Limitation”).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holders of preferred stock do not have voting rights in the Company.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360"/>
        <w:jc w:val="both"/>
        <w:rPr/>
      </w:pPr>
      <w:r>
        <w:rPr>
          <w:rFonts w:ascii="Times New Roman;serif" w:hAnsi="Times New Roman;serif"/>
          <w:b w:val="false"/>
          <w:color w:val="231F20"/>
          <w:sz w:val="20"/>
        </w:rPr>
        <w:t>The holders of preferred stock are entitled to receive dividends on an as-converted basis whenever funds are legally available and when declared by the board of directors. No dividends have been declared as of June 30, 2026</w:t>
      </w:r>
      <w:r>
        <w:rPr>
          <w:rFonts w:ascii="Times New Roman;serif" w:hAnsi="Times New Roman;serif"/>
          <w:b w:val="false"/>
          <w:i/>
          <w:color w:val="231F20"/>
          <w:sz w:val="20"/>
        </w:rPr>
        <w: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Assumed Public Warrants and Private Placement Warrants from the Business Combination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a result of the Business Combination, holders of the public warrants and private placement warrants are entitled to acquire common </w:t>
      </w:r>
      <w:r>
        <w:rPr>
          <w:rFonts w:ascii="Times New Roman;serif" w:hAnsi="Times New Roman;serif"/>
          <w:b w:val="false"/>
          <w:color w:val="231F20"/>
          <w:sz w:val="20"/>
        </w:rPr>
        <w:t>stock</w:t>
      </w:r>
      <w:r>
        <w:rPr>
          <w:color w:val="000000"/>
        </w:rPr>
        <w:t xml:space="preserve"> </w:t>
      </w:r>
      <w:r>
        <w:rPr>
          <w:rFonts w:ascii="Times New Roman;serif" w:hAnsi="Times New Roman;serif"/>
          <w:b w:val="false"/>
          <w:color w:val="000000"/>
          <w:sz w:val="20"/>
        </w:rPr>
        <w:t>of the Company. The warrants became exercisable on December 12, 2021, 30 days after the completion of the Business Combination, and will expire five years after the completion of the Business Combination or earlier upon redemption or liquidation. As of June 30, 2026, there are 5,749,986 public warrants outstanding and 2,187,283 private placement warrants outstanding from the Business Combination.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warrant entitles the holder to purchase one share of common stock for $11.50 per share. Private warrants held by the initial purchaser or certain permitted transferees may be exercised on a cashless basis.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reported last sale price of the common stock equals or exceeds $18.00 per share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calls the public warrants for redemption, management will have the option to require all holders that wish to exercise the public warrants to do so on a cashless basis. The Company will not be required to net cash settle the warrants.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private warrants from the Business Combination are exercisable on a cashless basis and are non-redeemable so long as they are held by the initial purchasers or their permitted transferees. If the private warrants from the Business Combination are held by someone other than the initial purchasers or their permitted transferees, such private warrants will be redeemable by the Company and exercisable by such holders on the same basis as the public warrants.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Private Placement Offering and Exchange Agreement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2025, the Company entered into a securities purchase agreement (the “Securities Purchase Agreement”) with accredited investors for a private placement that resulted in gross proceeds of approximately $16,500 before deducting placement agent fees and offering expenses (the “PIPE”). Pursuant to the terms of the Securities Purchase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20"/>
        </w:rPr>
        <w:t>Company issued to purchasers in the PIPE units consisting of two shares of common stock (or pre-funded warrants in lieu thereof) and common warrants to purchase one share of common stock (or pre-funded warrants) of the Company at a price of $2.2084 per unit (or $2.2082 in the case of units consisting of prefunded warrants). As a result of the PIPE the Company issued an aggregate of: (i) 12,006,510 shares of the Company’s common stock, par value $0.0001 per share (the “Common Stock”), (ii) pre-funded warrants (the “pre-funded Warrants”) to purchase up to an aggregate of 2,886,614 shares of common stock and (iii) accompanying common warrants (the “Common Warrants,”) to purchase up to an aggregate of 7,446,562 shares of common stock (collectively, the “PIPE”). In connection with the PIPE, certain Lenders under the Company’s Facility Agreement exercised their Participation Rights and entered into an exchange agreement pursuant to which such Lenders agreed to exchange approximately $4,100 aggregate principal amount of the Company’s senior secured convertible notes for 37,232.83 shares of common-equivalent preferred stock (convertible into 3,723,283 shares of common stock) and Common Warrants to purchase 1,861,642 shares of common stock. The exercise price and terms of these Common Warrants mirror the terms of the Common Warrants offered to investors in the PIPE.</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have an exercise price of $0.0001 per share, and the Common Warrants have an exercise price of $1.1980 per share. The pre-funded Warrants and Common Warrants are subject to customary anti-dilution adjustments following certain events. The pre-funded Warrants and Common Warrants are exercisable at any time by the holder on a cash or cashless basis until the respective warrants are registered, provided that the holder may not exercise the warrants if the holder would own more than 4.9% of the Company immediately following the exercise. The warrants are equity classified in accordance with ASC 815-40.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all of the Exchange Warrants (Common Warrants) related to the lender and pre-funded Warrants issued were still outstanding. As of June 30, 2026, there were 8,216,918 Common Warrants outstanding.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At-The-Market Share Issuances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December 31, 2025</w:t>
      </w:r>
      <w:r>
        <w:rPr>
          <w:rFonts w:ascii="Times New Roman;serif" w:hAnsi="Times New Roman;serif"/>
          <w:b w:val="false"/>
          <w:color w:val="000000"/>
          <w:sz w:val="20"/>
        </w:rPr>
        <w:t xml:space="preserve">, the Company sold 2.8 million shares of its Common Stock through its sales agent, B. Riley Securities. The Company generated approximately $9.6 million in aggregate gross proceeds from sales under the “at-the-market” offering program and paid fees to the sales agent of approximately $384 thousand.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December 31, 2025</w:t>
      </w:r>
      <w:r>
        <w:rPr>
          <w:rFonts w:ascii="Times New Roman;serif" w:hAnsi="Times New Roman;serif"/>
          <w:b w:val="false"/>
          <w:color w:val="000000"/>
          <w:sz w:val="20"/>
        </w:rPr>
        <w:t xml:space="preserve">, the Company sold 1.4 million shares of its Common Stock, through its sales agent, BTIG. The Company generated approximately $4.8 million in aggregate gross proceeds from sales under the “at-the-market” offering program and paid fees to the sales agent of approximately $192 thousand.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Note 14. Share-Based Compensation</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Non-Qualified Stock Option Plan                                                                                                                                                                                    </w:t>
      </w:r>
    </w:p>
    <w:p>
      <w:pPr>
        <w:pStyle w:val="TextBody"/>
        <w:bidi w:val="0"/>
        <w:spacing w:lineRule="auto" w:line="26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On January 2, 2019, the Company adopted the 2019 Non-Qualified Stock Option Plan (the “2019 Plan”) to incentivize directors, consultants, advisors, and other key employees of the Company and its subsidiaries to continue their association by providing opportunities to participate in the ownership and further growth of the Company. The 2019 Plan provides for the grant of options (the “Stock Options”) to purchase shares of common stock of the Company. In conjunction with the Business Combination, the Company amended and fully restated the 2019 Plan through the establishment of the 2021 Incentive Plan (“2021 Plan”).</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Stock Options are granted from the pool of shares designated by the appropriate committee of the Board of Directors. The grant-date fair value of each option award is estimated on the date of grant using the Black-Scholes-Merton option-pricing model. The grant date fair value of the service vesting and the performance vesting options is recognized as an expense over the requisite service period and upon the achievement of the performance condition deemed probable of being achieved, respectively. The exercise price of each Stock Option shall be determined by the committee and may not be less than the fair market value of the shares of common stock on the date of grant. Stock Options have 10-year terms, after which they expire and are no longer exercisable.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total number of shares of common stock for which Stock Options may be granted under the 2021 Plan shall not exceed 15,640,000.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Stock Options become vested upon fulfillment of either service vesting conditions, performance vesting conditions, or both, as determined by the award agreement entered into by the Company and optionee. The service vesting requirement states that: (i) 25% of the service vesting options shall vest on the first anniversary of the grant date and (ii) the remaining 75% shall vest on an equal monthly-basis, so long as the optionee has remained continuously employed by the Company from the date of the award through the fourth anniversary of the grant date. The performance vesting requirement states that Stock Options shall vest upon sale of the Company only if the optionee has been continuously employed by the Company or its subsidiaries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the grant date through the date of such sale of the Company. For the awards vesting based on service conditions only and that have a graded vesting schedule, the Company recognizes compensation expense for vested awards in earnings, net of actual forfeitures in the period they occur, on a straight-line basis over the requisite service period.</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As of June 30, 2026, the total number of shares of common stock remaining available for future awards (e.g., non-qualified stock options, incentive stock options, restricted stock units, restricted stock awards) under the 2021 Plan is 9,808,797. There were no Stock Options granted for the three months ended June 30, 2026 and 2025. </w:t>
      </w:r>
    </w:p>
    <w:p>
      <w:pPr>
        <w:pStyle w:val="TextBody"/>
        <w:bidi w:val="0"/>
        <w:spacing w:lineRule="auto" w:line="26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Stock option activity during the six months ended June 30, 2026 and 2025 is as follows:</w:t>
      </w:r>
    </w:p>
    <w:tbl>
      <w:tblPr>
        <w:tblW w:w="10205" w:type="dxa"/>
        <w:jc w:val="center"/>
        <w:tblInd w:w="0" w:type="dxa"/>
        <w:tblLayout w:type="fixed"/>
        <w:tblCellMar>
          <w:top w:w="28" w:type="dxa"/>
          <w:left w:w="28" w:type="dxa"/>
          <w:bottom w:w="28" w:type="dxa"/>
          <w:right w:w="28" w:type="dxa"/>
        </w:tblCellMar>
      </w:tblPr>
      <w:tblGrid>
        <w:gridCol w:w="836"/>
        <w:gridCol w:w="538"/>
        <w:gridCol w:w="542"/>
        <w:gridCol w:w="109"/>
        <w:gridCol w:w="109"/>
        <w:gridCol w:w="109"/>
        <w:gridCol w:w="529"/>
        <w:gridCol w:w="473"/>
        <w:gridCol w:w="350"/>
        <w:gridCol w:w="109"/>
        <w:gridCol w:w="109"/>
        <w:gridCol w:w="109"/>
        <w:gridCol w:w="389"/>
        <w:gridCol w:w="945"/>
        <w:gridCol w:w="203"/>
        <w:gridCol w:w="109"/>
        <w:gridCol w:w="109"/>
        <w:gridCol w:w="109"/>
        <w:gridCol w:w="742"/>
        <w:gridCol w:w="742"/>
        <w:gridCol w:w="744"/>
        <w:gridCol w:w="109"/>
        <w:gridCol w:w="109"/>
        <w:gridCol w:w="109"/>
        <w:gridCol w:w="361"/>
        <w:gridCol w:w="1234"/>
        <w:gridCol w:w="269"/>
      </w:tblGrid>
      <w:tr>
        <w:trPr/>
        <w:tc>
          <w:tcPr>
            <w:tcW w:w="8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ind w:left="0" w:right="0" w:hanging="144"/>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4,022,196 </w:t>
            </w:r>
          </w:p>
        </w:tc>
        <w:tc>
          <w:tcPr>
            <w:tcW w:w="35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(96,137)</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(67,084)</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Balance at </w:t>
            </w:r>
            <w:r>
              <w:rPr>
                <w:rFonts w:ascii="Times New Roman;serif" w:hAnsi="Times New Roman;serif"/>
                <w:b/>
                <w:color w:val="231F2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3,858,975 </w:t>
            </w:r>
          </w:p>
        </w:tc>
        <w:tc>
          <w:tcPr>
            <w:tcW w:w="35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0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13,386 </w:t>
            </w:r>
          </w:p>
        </w:tc>
        <w:tc>
          <w:tcPr>
            <w:tcW w:w="26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Options Exercisable at </w:t>
            </w:r>
            <w:r>
              <w:rPr>
                <w:rFonts w:ascii="Times New Roman;serif" w:hAnsi="Times New Roman;serif"/>
                <w:b w:val="false"/>
                <w:color w:val="231F2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3,254,855 </w:t>
            </w:r>
          </w:p>
        </w:tc>
        <w:tc>
          <w:tcPr>
            <w:tcW w:w="3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11,222 </w:t>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51"/>
        <w:gridCol w:w="552"/>
        <w:gridCol w:w="556"/>
        <w:gridCol w:w="109"/>
        <w:gridCol w:w="109"/>
        <w:gridCol w:w="109"/>
        <w:gridCol w:w="529"/>
        <w:gridCol w:w="484"/>
        <w:gridCol w:w="354"/>
        <w:gridCol w:w="109"/>
        <w:gridCol w:w="109"/>
        <w:gridCol w:w="109"/>
        <w:gridCol w:w="396"/>
        <w:gridCol w:w="962"/>
        <w:gridCol w:w="206"/>
        <w:gridCol w:w="109"/>
        <w:gridCol w:w="109"/>
        <w:gridCol w:w="109"/>
        <w:gridCol w:w="759"/>
        <w:gridCol w:w="759"/>
        <w:gridCol w:w="761"/>
        <w:gridCol w:w="109"/>
        <w:gridCol w:w="109"/>
        <w:gridCol w:w="109"/>
        <w:gridCol w:w="392"/>
        <w:gridCol w:w="1145"/>
        <w:gridCol w:w="291"/>
      </w:tblGrid>
      <w:tr>
        <w:trPr/>
        <w:tc>
          <w:tcPr>
            <w:tcW w:w="7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hanging="144"/>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8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7,488,859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(2,645,017)</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(285,112)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(77,469)</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4,481,261 </w:t>
            </w:r>
          </w:p>
        </w:tc>
        <w:tc>
          <w:tcPr>
            <w:tcW w:w="3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29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Vested Options Exercisable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3,374,192 </w:t>
            </w:r>
          </w:p>
        </w:tc>
        <w:tc>
          <w:tcPr>
            <w:tcW w:w="3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Total share-based compensation expense related to stock options during the </w:t>
      </w:r>
      <w:r>
        <w:rPr>
          <w:rFonts w:ascii="Times New Roman;serif" w:hAnsi="Times New Roman;serif"/>
          <w:b w:val="false"/>
          <w:color w:val="000000"/>
          <w:sz w:val="20"/>
        </w:rPr>
        <w:t>three and six months</w:t>
      </w:r>
      <w:r>
        <w:rPr>
          <w:color w:val="231F20"/>
        </w:rPr>
        <w:t xml:space="preserve"> </w:t>
      </w:r>
      <w:r>
        <w:rPr>
          <w:rFonts w:ascii="Times New Roman;serif" w:hAnsi="Times New Roman;serif"/>
          <w:b w:val="false"/>
          <w:color w:val="231F20"/>
          <w:sz w:val="20"/>
        </w:rPr>
        <w:t>ended June 30, 2026 was $59 and $117,</w:t>
      </w:r>
      <w:r>
        <w:rPr>
          <w:color w:val="231F20"/>
          <w:shd w:fill="FFFFFF" w:val="clear"/>
        </w:rPr>
        <w:t xml:space="preserve"> </w:t>
      </w:r>
      <w:r>
        <w:rPr>
          <w:rFonts w:ascii="Times New Roman;serif" w:hAnsi="Times New Roman;serif"/>
          <w:b w:val="false"/>
          <w:color w:val="231F20"/>
          <w:sz w:val="20"/>
          <w:shd w:fill="FFFFFF" w:val="clear"/>
        </w:rPr>
        <w:t>respectively</w:t>
      </w:r>
      <w:r>
        <w:rPr>
          <w:rFonts w:ascii="Times New Roman;serif" w:hAnsi="Times New Roman;serif"/>
          <w:b w:val="false"/>
          <w:color w:val="231F20"/>
          <w:sz w:val="20"/>
        </w:rPr>
        <w:t>. Total share-based compensation expense related to stock options during the three and six months ended June 30, 2025 was $107 and $213,</w:t>
      </w:r>
      <w:r>
        <w:rPr>
          <w:color w:val="231F20"/>
          <w:shd w:fill="FFFFFF" w:val="clear"/>
        </w:rPr>
        <w:t xml:space="preserve"> </w:t>
      </w:r>
      <w:r>
        <w:rPr>
          <w:rFonts w:ascii="Times New Roman;serif" w:hAnsi="Times New Roman;serif"/>
          <w:b w:val="false"/>
          <w:color w:val="231F20"/>
          <w:sz w:val="20"/>
          <w:shd w:fill="FFFFFF" w:val="clear"/>
        </w:rPr>
        <w:t>respectively.</w:t>
      </w:r>
      <w:r>
        <w:rPr>
          <w:color w:val="231F20"/>
        </w:rPr>
        <w:t xml:space="preserve"> </w:t>
      </w:r>
      <w:r>
        <w:rPr>
          <w:rFonts w:ascii="Times New Roman;serif" w:hAnsi="Times New Roman;serif"/>
          <w:b w:val="false"/>
          <w:color w:val="000000"/>
          <w:sz w:val="20"/>
        </w:rPr>
        <w:t>The total intrinsic value of options exercised during three and six</w:t>
      </w:r>
      <w:r>
        <w:rPr>
          <w:color w:val="231F20"/>
        </w:rPr>
        <w:t xml:space="preserve"> </w:t>
      </w:r>
      <w:r>
        <w:rPr>
          <w:rFonts w:ascii="Times New Roman;serif" w:hAnsi="Times New Roman;serif"/>
          <w:b w:val="false"/>
          <w:color w:val="231F20"/>
          <w:sz w:val="20"/>
        </w:rPr>
        <w:t xml:space="preserve">months ended June 30, 2026 </w:t>
      </w:r>
      <w:r>
        <w:rPr>
          <w:rFonts w:ascii="Times New Roman;serif" w:hAnsi="Times New Roman;serif"/>
          <w:b w:val="false"/>
          <w:color w:val="000000"/>
          <w:sz w:val="20"/>
        </w:rPr>
        <w:t xml:space="preserve">was $93 and $429, respectively. The total intrinsic value of options exercised during </w:t>
      </w:r>
      <w:r>
        <w:rPr>
          <w:rFonts w:ascii="Times New Roman;serif" w:hAnsi="Times New Roman;serif"/>
          <w:b w:val="false"/>
          <w:color w:val="231F20"/>
          <w:sz w:val="20"/>
        </w:rPr>
        <w:t>three and six months ended June 30, 2025</w:t>
      </w:r>
      <w:r>
        <w:rPr>
          <w:color w:val="000000"/>
        </w:rPr>
        <w:t xml:space="preserve"> </w:t>
      </w:r>
      <w:r>
        <w:rPr>
          <w:rFonts w:ascii="Times New Roman;serif" w:hAnsi="Times New Roman;serif"/>
          <w:b w:val="false"/>
          <w:color w:val="000000"/>
          <w:sz w:val="20"/>
        </w:rPr>
        <w:t>was $7,100 and $7,277, respectively.</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At June 30, 2026, there was $229 of total unrecognized compensation cost related to unvested service stock options </w:t>
      </w:r>
      <w:r>
        <w:rPr>
          <w:rFonts w:ascii="Times New Roman;serif" w:hAnsi="Times New Roman;serif"/>
          <w:b w:val="false"/>
          <w:color w:val="231F20"/>
          <w:sz w:val="20"/>
          <w:shd w:fill="FFFFFF" w:val="clear"/>
        </w:rPr>
        <w:t xml:space="preserve">granted under the 2021 Plan </w:t>
      </w:r>
      <w:r>
        <w:rPr>
          <w:rFonts w:ascii="Times New Roman;serif" w:hAnsi="Times New Roman;serif"/>
          <w:b w:val="false"/>
          <w:color w:val="231F20"/>
          <w:sz w:val="20"/>
        </w:rPr>
        <w:t>that are expected to vest. That cost is expected to be recognized over a weighted average period of 1.38 years as of June 30, 2026. During the six</w:t>
      </w:r>
      <w:r>
        <w:rPr>
          <w:color w:val="000000"/>
        </w:rPr>
        <w:t xml:space="preserve"> </w:t>
      </w:r>
      <w:r>
        <w:rPr>
          <w:rFonts w:ascii="Times New Roman;serif" w:hAnsi="Times New Roman;serif"/>
          <w:b w:val="false"/>
          <w:color w:val="000000"/>
          <w:sz w:val="20"/>
        </w:rPr>
        <w:t>months</w:t>
      </w:r>
      <w:r>
        <w:rPr>
          <w:color w:val="231F20"/>
        </w:rPr>
        <w:t xml:space="preserve"> </w:t>
      </w:r>
      <w:r>
        <w:rPr>
          <w:rFonts w:ascii="Times New Roman;serif" w:hAnsi="Times New Roman;serif"/>
          <w:b w:val="false"/>
          <w:color w:val="231F20"/>
          <w:sz w:val="20"/>
        </w:rPr>
        <w:t>ended June 30, 2026, the Company received $111 in cash and $318 tax benefit from the stock options exercised. The total fair value of shares of common stock vested during the six months ended June 30, 2026 and 2025 was $1,682 and $791, respectively.</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 xml:space="preserve">Restricted Stock Units (“RSUs”) </w:t>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The Company has 4,219,428 and 3,436,019 RSUs outstanding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and December 31, 2025, respectively.</w:t>
      </w:r>
      <w:r>
        <w:rPr>
          <w:color w:val="000000"/>
        </w:rPr>
        <w:t xml:space="preserve"> </w:t>
      </w:r>
      <w:r>
        <w:rPr>
          <w:rFonts w:ascii="Times New Roman;serif" w:hAnsi="Times New Roman;serif"/>
          <w:b w:val="false"/>
          <w:color w:val="000000"/>
          <w:sz w:val="20"/>
        </w:rPr>
        <w:t xml:space="preserve">The RSUs are service-based vesting awards and are valued based on the fair value of the Company’s common stock at the date of grant. The weighted-average grant date fair values of the RSUs granted during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and 2025, were determined to be $3.01 and $1.19, respectively, based on the fair value of the Company’s common stock at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 summary of the activity for the RSUs for the six months ended June 30, 2026 and 2025, respectively, are shown in the following table:</w:t>
      </w:r>
    </w:p>
    <w:tbl>
      <w:tblPr>
        <w:tblW w:w="10205" w:type="dxa"/>
        <w:jc w:val="left"/>
        <w:tblInd w:w="0" w:type="dxa"/>
        <w:tblLayout w:type="fixed"/>
        <w:tblCellMar>
          <w:top w:w="28" w:type="dxa"/>
          <w:left w:w="28" w:type="dxa"/>
          <w:bottom w:w="28" w:type="dxa"/>
          <w:right w:w="28" w:type="dxa"/>
        </w:tblCellMar>
      </w:tblPr>
      <w:tblGrid>
        <w:gridCol w:w="617"/>
        <w:gridCol w:w="542"/>
        <w:gridCol w:w="544"/>
        <w:gridCol w:w="109"/>
        <w:gridCol w:w="109"/>
        <w:gridCol w:w="109"/>
        <w:gridCol w:w="539"/>
        <w:gridCol w:w="492"/>
        <w:gridCol w:w="393"/>
        <w:gridCol w:w="109"/>
        <w:gridCol w:w="109"/>
        <w:gridCol w:w="109"/>
        <w:gridCol w:w="550"/>
        <w:gridCol w:w="1335"/>
        <w:gridCol w:w="286"/>
        <w:gridCol w:w="109"/>
        <w:gridCol w:w="109"/>
        <w:gridCol w:w="109"/>
        <w:gridCol w:w="539"/>
        <w:gridCol w:w="492"/>
        <w:gridCol w:w="393"/>
        <w:gridCol w:w="109"/>
        <w:gridCol w:w="109"/>
        <w:gridCol w:w="109"/>
        <w:gridCol w:w="523"/>
        <w:gridCol w:w="1267"/>
        <w:gridCol w:w="385"/>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3,436,019 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2,401,435 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3,935,704 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(1,441,843)</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(1,700,884)</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8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(387,710)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4,219,428 </w:t>
            </w:r>
          </w:p>
        </w:tc>
        <w:tc>
          <w:tcPr>
            <w:tcW w:w="3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3,356,847 </w:t>
            </w:r>
          </w:p>
        </w:tc>
        <w:tc>
          <w:tcPr>
            <w:tcW w:w="3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total share-based compensation expense related to RSUs was $1,011 and $1,568, respectively, during the three and six months ended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The total share-based compensation expense related to RSUs was $644 and $860, respectively, during the three and six months ended June 30, 2025.</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 xml:space="preserve">there was $7,691 of unrecognized compensation expense related to the RSUs that are expected to vest. That cost is expected to be recognized over a weighted average period of 3.43 years as of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w:t>
      </w:r>
    </w:p>
    <w:p>
      <w:pPr>
        <w:pStyle w:val="TextBody"/>
        <w:bidi w:val="0"/>
        <w:spacing w:lineRule="auto" w:line="288" w:before="0" w:after="200"/>
        <w:jc w:val="both"/>
        <w:rPr>
          <w:rFonts w:ascii="Times New Roman;serif" w:hAnsi="Times New Roman;serif"/>
          <w:b/>
          <w:i/>
          <w:color w:val="231F20"/>
          <w:sz w:val="20"/>
        </w:rPr>
      </w:pPr>
      <w:r>
        <w:rPr>
          <w:rFonts w:ascii="Times New Roman;serif" w:hAnsi="Times New Roman;serif"/>
          <w:b/>
          <w:i/>
          <w:color w:val="231F20"/>
          <w:sz w:val="20"/>
        </w:rPr>
        <w:t>RSUs granted to Medical Employees and Nonemployees</w:t>
      </w:r>
    </w:p>
    <w:p>
      <w:pPr>
        <w:pStyle w:val="TextBody"/>
        <w:bidi w:val="0"/>
        <w:spacing w:lineRule="auto" w:line="268" w:before="0" w:after="0"/>
        <w:ind w:left="0" w:right="0" w:firstLine="360"/>
        <w:jc w:val="both"/>
        <w:rPr/>
      </w:pPr>
      <w:r>
        <w:rPr>
          <w:rFonts w:ascii="Times New Roman;serif" w:hAnsi="Times New Roman;serif"/>
          <w:b w:val="false"/>
          <w:color w:val="231F20"/>
          <w:sz w:val="20"/>
        </w:rPr>
        <w:t xml:space="preserve">In 2022, the Company entered into arrangements with certain medical directors and supervisors of advanced practice providers employed by or engaged as independent contractors of the Company to grant RSUs of the Company (“Medical RSUs”). Granting of each annual Medical RSU award by the Company is dependent on the participant performing a specified minimum number of service hours during the calendar year (“One-Year Term”) and further contingent upon the participant’s continued service to, or employment by, the Company through the grant date. The Company’s regular grant date for these Medical RSU awards is in the first quarter of the calendar year following the One-Year Term.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and 2025, 332,803 and 997,806 Medical RSU awards were granted, respectively. </w:t>
      </w:r>
    </w:p>
    <w:p>
      <w:pPr>
        <w:pStyle w:val="TextBody"/>
        <w:bidi w:val="0"/>
        <w:spacing w:lineRule="auto" w:line="26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number of Medical RSUs granted to each such participant is determined by the fair market value of the Company's stock price at the grant date and are vested at the grant date. There were no unvested Medical RSU awards outstanding as of June 30, 2026 or 2025.</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 summary of the activity for the equity-classified Medical RSUs for the six months ended June 30, 2026 and 2025, respectively, is shown in the following table:</w:t>
      </w:r>
    </w:p>
    <w:tbl>
      <w:tblPr>
        <w:tblW w:w="5835" w:type="dxa"/>
        <w:jc w:val="left"/>
        <w:tblInd w:w="0" w:type="dxa"/>
        <w:tblLayout w:type="fixed"/>
        <w:tblCellMar>
          <w:top w:w="28" w:type="dxa"/>
          <w:left w:w="28" w:type="dxa"/>
          <w:bottom w:w="28" w:type="dxa"/>
          <w:right w:w="28" w:type="dxa"/>
        </w:tblCellMar>
      </w:tblPr>
      <w:tblGrid>
        <w:gridCol w:w="956"/>
        <w:gridCol w:w="840"/>
        <w:gridCol w:w="843"/>
        <w:gridCol w:w="557"/>
        <w:gridCol w:w="343"/>
        <w:gridCol w:w="258"/>
        <w:gridCol w:w="258"/>
        <w:gridCol w:w="258"/>
        <w:gridCol w:w="258"/>
        <w:gridCol w:w="571"/>
        <w:gridCol w:w="329"/>
        <w:gridCol w:w="36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997,806 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(997,806)</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90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Total compensation costs for Medical RSUs was $0 and </w:t>
      </w:r>
      <w:r>
        <w:rPr>
          <w:rFonts w:ascii="Times New Roman;serif" w:hAnsi="Times New Roman;serif"/>
          <w:b w:val="false"/>
          <w:color w:val="000000"/>
          <w:sz w:val="20"/>
        </w:rPr>
        <w:t>$1,032</w:t>
      </w:r>
      <w:r>
        <w:rPr>
          <w:color w:val="231F20"/>
        </w:rPr>
        <w:t xml:space="preserve"> </w:t>
      </w:r>
      <w:r>
        <w:rPr>
          <w:rFonts w:ascii="Times New Roman;serif" w:hAnsi="Times New Roman;serif"/>
          <w:b w:val="false"/>
          <w:color w:val="231F20"/>
          <w:sz w:val="20"/>
        </w:rPr>
        <w:t xml:space="preserve">for the three and six months ended June 30, 2026, respectively. Total compensation costs for Medical RSUs was $0 and </w:t>
      </w:r>
      <w:r>
        <w:rPr>
          <w:rFonts w:ascii="Times New Roman;serif" w:hAnsi="Times New Roman;serif"/>
          <w:b w:val="false"/>
          <w:color w:val="000000"/>
          <w:sz w:val="20"/>
        </w:rPr>
        <w:t xml:space="preserve">$1,137 </w:t>
      </w:r>
      <w:r>
        <w:rPr>
          <w:rFonts w:ascii="Times New Roman;serif" w:hAnsi="Times New Roman;serif"/>
          <w:b w:val="false"/>
          <w:color w:val="231F20"/>
          <w:sz w:val="20"/>
        </w:rPr>
        <w:t xml:space="preserve">for the three and six months ended June 30, 2025, respectively. As of June 30, 2026, all Medical RSUs had vested. </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Employee Stock Purchase Plan (ESPP)</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In connection with the Business Combination, the Company adopted the 2021 Employee Stock Purchase Plan ("2021 ESPP”). The 2021 ESPP has reserved 3,591,088 shares of the Company’s common stock for issuance to eligible employees, who are entitled to purchase shares of common stock equal to 85% of the lower of the closing price on the purchase date or the six month closing price average during the contribution period through accumulated payroll deductions. During the three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the Company issued 0 and 84,392 shares of common stock under the ESPP and recognized $0 and $39, respectively, in share-based compensation expense. There was no share-based compensation for the three and six months ended June 30, 2025, related to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15. Commitments and Contingencies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evaluates contingencies based upon available evidence. In addition, allowances for losses are provided each year for disputed items which have continuing significance. The Company believes that allowances for losses have been provided to the extent necessary, and that its assessment of contingencies is reasonable. Due to the inherent uncertainties and subjectivity involved in accounting for contingencies, there is at least a reasonable possibility that recorded estimates will change by a material amount in the near term. To the extent that the resolution of contingencies results in amounts which vary from management’s estimates, future operating results will be charged or credited. The principal commitments and contingencies are described below.</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Legal Matters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is subject to certain outside claims and litigation arising in the ordinary course of business. In the opinion of management, the outcome of such matters is not expected to have a material effect on the Company’s condensed consolidated financial statements. Loss contingencies entail uncertainty and a possibility of loss to an entity. If the loss is probable and the amount of loss can be reasonably estimated, the loss is accrued according to </w:t>
      </w:r>
      <w:r>
        <w:rPr>
          <w:rFonts w:ascii="Times New Roman;serif" w:hAnsi="Times New Roman;serif"/>
          <w:b w:val="false"/>
          <w:color w:val="000000"/>
          <w:sz w:val="20"/>
        </w:rPr>
        <w:t>ASC No. 450-20,</w:t>
      </w:r>
      <w:r>
        <w:rPr>
          <w:color w:val="000000"/>
        </w:rPr>
        <w:t xml:space="preserve"> </w:t>
      </w:r>
      <w:r>
        <w:rPr>
          <w:rFonts w:ascii="Times New Roman;serif" w:hAnsi="Times New Roman;serif"/>
          <w:b w:val="false"/>
          <w:i/>
          <w:color w:val="000000"/>
          <w:sz w:val="20"/>
        </w:rPr>
        <w:t>Disclosure of Certain Loss Contingencies</w:t>
      </w:r>
      <w:r>
        <w:rPr>
          <w:rFonts w:ascii="Times New Roman;serif" w:hAnsi="Times New Roman;serif"/>
          <w:b w:val="false"/>
          <w:color w:val="231F20"/>
          <w:sz w:val="20"/>
        </w:rPr>
        <w:t xml:space="preserve">.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Indemnities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Company’s Amended and Restated Certificate of Incorporation and amended and restated bylaws require it, among other things, to indemnify any director or officer against specified expenses and liabilities, such as attorneys’ fees, judgments, fines, and settlements, paid by the individual in connection with any action, suit, or proceeding arising out of the individual’s status or service as its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on the maximum potential future payments it could be obligated to make.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The Health Insurance Portability and Accountability Act</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Health Insurance Portability and Accountability Act (“HIPAA”) assures health insurance portability, reduces healthcare fraud and abuse, guarantees security and privacy of health information, and enforces standards for health information. The Health Information Technology for Economic and Clinical Health Act (“HITECH”) imposes notification requirements in the event of certain security breaches relating to protected health information. Organizations are subject to significant fines and penalties if found not to be compliant with the provisions outlined in these regulations. The Company believes it is in compliance with these laws.</w:t>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Regulatory Matters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Laws and regulations governing the Medicare program and healthcare generally, are complex and subject to interpretation. The Company believes that it is in compliance with all applicable laws and regulations and is not aware of any pending or threatened investigations involving allegations of potential wrongdoing. While no regulatory inquiries have been made, compliance with such laws and regulations can be subject to future government review and interpretation as well as significant regulatory action including fines, penalties, and exclusion from the Medicare and Medi-Cal programs.</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Many of the Company’s payor and provider contracts are complex in nature and may be subject to differing interpretations regarding amounts due for the provision of medical services. Such differing interpretations may not come to light until a substantial period of time has passed following contract implementation. Liabilities for claims disputes are recorded when the loss is probable and can be estimated. Any adjustments to reserves are reflected in current operations. The Company does not have any reserves for regulatory matters as of June 30, 2026 and December 31, 2025.</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Liability Insurance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believes that its insurance coverage is appropriate based upon the Company’s claims experience and the nature and risks of the Company’s business. In addition to the known incidents that have resulted in the assertion of claims, the Company cannot be certain that its insurance coverage will be adequate to cover liabilities, arising out of claims asserted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against the Company or the Company’s affiliated professional organizations, in the future where the outcomes of such claims are unfavorable.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believes that the ultimate resolution of all pending claims, including liabilities in excess of the Company’s insurance coverage, will not have a material adverse effect on the Company’s financial position, results of operations or cash flows; however, there can be no assurance that future claims will not have such a material adverse effect on the Company’s business. Contracted physicians are required to obtain their own insurance coverage.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Guarantees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the Company's subsidiaries which are parties to the Facility Agreement (“Guarantors”), have pledged a first priority perfected lien on substantially all of their respective personal and real property, as collateral security for the payment of outstanding obligations, under the Facility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16. Variable Interest Entities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prepares its condensed consolidated financial statements in accordance with Accounting Standards Codification Topic No. 810, </w:t>
      </w:r>
      <w:r>
        <w:rPr>
          <w:rFonts w:ascii="Times New Roman;serif" w:hAnsi="Times New Roman;serif"/>
          <w:b w:val="false"/>
          <w:i/>
          <w:color w:val="231F20"/>
          <w:sz w:val="20"/>
        </w:rPr>
        <w:t xml:space="preserve">Consolidations </w:t>
      </w:r>
      <w:r>
        <w:rPr>
          <w:rFonts w:ascii="Times New Roman;serif" w:hAnsi="Times New Roman;serif"/>
          <w:b w:val="false"/>
          <w:color w:val="231F20"/>
          <w:sz w:val="20"/>
        </w:rPr>
        <w:t>(“ASC 810”), which provides for the consolidation of VIEs of which an entity is the primary beneficiary.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MSAs established with the Starling PCs, one of the Company's wholly owned subsidiaries [Starling Management LLC ("Starling Management')], is entitled to receive a management fee, which represents a variable interest in and the right to receive the benefits of the Starling PCs. Through the terms of the MSAs, Starling Management receives the right to direct the most significant activities of the Starling PCs. Therefore, the Starling PCs are variable interest entities and Starling Management is the primary beneficiary that consolidates the Starling PCs, and their subsidiaries.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condensed consolidated financial statements include the accounts of </w:t>
      </w:r>
      <w:r>
        <w:rPr>
          <w:rFonts w:ascii="Times New Roman;serif" w:hAnsi="Times New Roman;serif"/>
          <w:b w:val="false"/>
          <w:color w:val="000000"/>
          <w:sz w:val="20"/>
        </w:rPr>
        <w:t>Starling</w:t>
      </w:r>
      <w:r>
        <w:rPr>
          <w:color w:val="231F20"/>
        </w:rPr>
        <w:t xml:space="preserve"> </w:t>
      </w:r>
      <w:r>
        <w:rPr>
          <w:rFonts w:ascii="Times New Roman;serif" w:hAnsi="Times New Roman;serif"/>
          <w:b w:val="false"/>
          <w:color w:val="231F20"/>
          <w:sz w:val="20"/>
        </w:rPr>
        <w:t>and its subsidiaries and VIEs. All inter-company profits, transactions, and balances have been eliminated upon consolidation.</w:t>
      </w:r>
    </w:p>
    <w:tbl>
      <w:tblPr>
        <w:tblW w:w="7195" w:type="dxa"/>
        <w:jc w:val="left"/>
        <w:tblInd w:w="0" w:type="dxa"/>
        <w:tblLayout w:type="fixed"/>
        <w:tblCellMar>
          <w:top w:w="28" w:type="dxa"/>
          <w:left w:w="28" w:type="dxa"/>
          <w:bottom w:w="28" w:type="dxa"/>
          <w:right w:w="28" w:type="dxa"/>
        </w:tblCellMar>
      </w:tblPr>
      <w:tblGrid>
        <w:gridCol w:w="1384"/>
        <w:gridCol w:w="1218"/>
        <w:gridCol w:w="1223"/>
        <w:gridCol w:w="234"/>
        <w:gridCol w:w="919"/>
        <w:gridCol w:w="121"/>
        <w:gridCol w:w="109"/>
        <w:gridCol w:w="109"/>
        <w:gridCol w:w="109"/>
        <w:gridCol w:w="313"/>
        <w:gridCol w:w="1228"/>
        <w:gridCol w:w="228"/>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59,103 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16,874 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5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101,525 </w:t>
            </w:r>
          </w:p>
        </w:tc>
        <w:tc>
          <w:tcPr>
            <w:tcW w:w="12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81,168 </w:t>
            </w:r>
          </w:p>
        </w:tc>
        <w:tc>
          <w:tcPr>
            <w:tcW w:w="2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108,887 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88,806 </w:t>
            </w:r>
          </w:p>
        </w:tc>
        <w:tc>
          <w:tcPr>
            <w:tcW w:w="2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affiliates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254,396 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5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346,171 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309,806 </w:t>
            </w:r>
          </w:p>
        </w:tc>
        <w:tc>
          <w:tcPr>
            <w:tcW w:w="2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309,806 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Single physician holders, who are officers of the Company, retain equity ownership in Starling CA, Starling FL, Starling TX, and Starling OR, which represents nominal noncontrolling interests. However, the noncontrolling interests do not participate in the profit or loss of Starling CA, Starling FL, Starling TX, and Starling OR.</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17. Goodwill and Intangible Assets</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Intangible Assets</w:t>
      </w:r>
    </w:p>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As of June 30, 2026, the Company’s intangible assets, net consists of the following:</w:t>
      </w:r>
    </w:p>
    <w:tbl>
      <w:tblPr>
        <w:tblW w:w="10205" w:type="dxa"/>
        <w:jc w:val="left"/>
        <w:tblInd w:w="0" w:type="dxa"/>
        <w:tblLayout w:type="fixed"/>
        <w:tblCellMar>
          <w:top w:w="28" w:type="dxa"/>
          <w:left w:w="28" w:type="dxa"/>
          <w:bottom w:w="28" w:type="dxa"/>
          <w:right w:w="28" w:type="dxa"/>
        </w:tblCellMar>
      </w:tblPr>
      <w:tblGrid>
        <w:gridCol w:w="740"/>
        <w:gridCol w:w="572"/>
        <w:gridCol w:w="574"/>
        <w:gridCol w:w="799"/>
        <w:gridCol w:w="799"/>
        <w:gridCol w:w="801"/>
        <w:gridCol w:w="109"/>
        <w:gridCol w:w="109"/>
        <w:gridCol w:w="109"/>
        <w:gridCol w:w="325"/>
        <w:gridCol w:w="1112"/>
        <w:gridCol w:w="168"/>
        <w:gridCol w:w="109"/>
        <w:gridCol w:w="109"/>
        <w:gridCol w:w="109"/>
        <w:gridCol w:w="366"/>
        <w:gridCol w:w="1282"/>
        <w:gridCol w:w="191"/>
        <w:gridCol w:w="109"/>
        <w:gridCol w:w="109"/>
        <w:gridCol w:w="109"/>
        <w:gridCol w:w="320"/>
        <w:gridCol w:w="935"/>
        <w:gridCol w:w="240"/>
      </w:tblGrid>
      <w:tr>
        <w:trPr/>
        <w:tc>
          <w:tcPr>
            <w:tcW w:w="7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3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contracts</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(15,115)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24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29,693 </w:t>
            </w:r>
          </w:p>
        </w:tc>
        <w:tc>
          <w:tcPr>
            <w:tcW w:w="1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(20,108)</w:t>
            </w:r>
          </w:p>
        </w:tc>
        <w:tc>
          <w:tcPr>
            <w:tcW w:w="1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2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As of December 31, 2025, the Company’s intangible assets, net consists of the following:</w:t>
      </w:r>
    </w:p>
    <w:tbl>
      <w:tblPr>
        <w:tblW w:w="10205" w:type="dxa"/>
        <w:jc w:val="left"/>
        <w:tblInd w:w="0" w:type="dxa"/>
        <w:tblLayout w:type="fixed"/>
        <w:tblCellMar>
          <w:top w:w="28" w:type="dxa"/>
          <w:left w:w="28" w:type="dxa"/>
          <w:bottom w:w="28" w:type="dxa"/>
          <w:right w:w="28" w:type="dxa"/>
        </w:tblCellMar>
      </w:tblPr>
      <w:tblGrid>
        <w:gridCol w:w="912"/>
        <w:gridCol w:w="721"/>
        <w:gridCol w:w="723"/>
        <w:gridCol w:w="727"/>
        <w:gridCol w:w="727"/>
        <w:gridCol w:w="729"/>
        <w:gridCol w:w="109"/>
        <w:gridCol w:w="109"/>
        <w:gridCol w:w="109"/>
        <w:gridCol w:w="304"/>
        <w:gridCol w:w="1040"/>
        <w:gridCol w:w="157"/>
        <w:gridCol w:w="109"/>
        <w:gridCol w:w="109"/>
        <w:gridCol w:w="109"/>
        <w:gridCol w:w="343"/>
        <w:gridCol w:w="1202"/>
        <w:gridCol w:w="180"/>
        <w:gridCol w:w="109"/>
        <w:gridCol w:w="109"/>
        <w:gridCol w:w="109"/>
        <w:gridCol w:w="282"/>
        <w:gridCol w:w="965"/>
        <w:gridCol w:w="212"/>
      </w:tblGrid>
      <w:tr>
        <w:trPr/>
        <w:tc>
          <w:tcPr>
            <w:tcW w:w="9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1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8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intangible assets:</w:t>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Payor contracts</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contracts and noncompete agreements</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29,767 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(18,752)</w:t>
            </w:r>
          </w:p>
        </w:tc>
        <w:tc>
          <w:tcPr>
            <w:tcW w:w="1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estimated aggregate amortization expense for each of the five succeeding fiscal years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is as follows:</w:t>
      </w:r>
    </w:p>
    <w:tbl>
      <w:tblPr>
        <w:tblW w:w="3440" w:type="dxa"/>
        <w:jc w:val="left"/>
        <w:tblInd w:w="0" w:type="dxa"/>
        <w:tblLayout w:type="fixed"/>
        <w:tblCellMar>
          <w:top w:w="28" w:type="dxa"/>
          <w:left w:w="28" w:type="dxa"/>
          <w:bottom w:w="28" w:type="dxa"/>
          <w:right w:w="28" w:type="dxa"/>
        </w:tblCellMar>
      </w:tblPr>
      <w:tblGrid>
        <w:gridCol w:w="890"/>
        <w:gridCol w:w="783"/>
        <w:gridCol w:w="786"/>
        <w:gridCol w:w="211"/>
        <w:gridCol w:w="61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aggregate amortization expense during the </w:t>
      </w:r>
      <w:r>
        <w:rPr>
          <w:rFonts w:ascii="Times New Roman;serif" w:hAnsi="Times New Roman;serif"/>
          <w:b w:val="false"/>
          <w:color w:val="231F20"/>
          <w:sz w:val="20"/>
        </w:rPr>
        <w:t>three months ended June 30, 2026 and 2025</w:t>
      </w:r>
      <w:r>
        <w:rPr>
          <w:color w:val="000000"/>
        </w:rPr>
        <w:t xml:space="preserve"> </w:t>
      </w:r>
      <w:r>
        <w:rPr>
          <w:rFonts w:ascii="Times New Roman;serif" w:hAnsi="Times New Roman;serif"/>
          <w:b w:val="false"/>
          <w:color w:val="000000"/>
          <w:sz w:val="20"/>
        </w:rPr>
        <w:t xml:space="preserve">was $716 and $773, respectively. The aggregate amortization expense during the </w:t>
      </w:r>
      <w:r>
        <w:rPr>
          <w:rFonts w:ascii="Times New Roman;serif" w:hAnsi="Times New Roman;serif"/>
          <w:b w:val="false"/>
          <w:color w:val="231F20"/>
          <w:sz w:val="20"/>
        </w:rPr>
        <w:t>six months ended June 30, 2026 and 2025</w:t>
      </w:r>
      <w:r>
        <w:rPr>
          <w:color w:val="000000"/>
        </w:rPr>
        <w:t xml:space="preserve"> </w:t>
      </w:r>
      <w:r>
        <w:rPr>
          <w:rFonts w:ascii="Times New Roman;serif" w:hAnsi="Times New Roman;serif"/>
          <w:b w:val="false"/>
          <w:color w:val="000000"/>
          <w:sz w:val="20"/>
        </w:rPr>
        <w:t>was 1,431 and $1,547,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Goodwill</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evaluates goodwill at the reporting unit level, which, for the Company, is at the level of the reportable segments, specialty pharmacy, patient services, and clinical trials &amp; other. The goodwill allocated to each of the reporting units as of June 30, 2026 and December 31, 2025 is as follows:</w:t>
      </w:r>
    </w:p>
    <w:tbl>
      <w:tblPr>
        <w:tblW w:w="5261" w:type="dxa"/>
        <w:jc w:val="left"/>
        <w:tblInd w:w="0" w:type="dxa"/>
        <w:tblLayout w:type="fixed"/>
        <w:tblCellMar>
          <w:top w:w="28" w:type="dxa"/>
          <w:left w:w="28" w:type="dxa"/>
          <w:bottom w:w="28" w:type="dxa"/>
          <w:right w:w="28" w:type="dxa"/>
        </w:tblCellMar>
      </w:tblPr>
      <w:tblGrid>
        <w:gridCol w:w="684"/>
        <w:gridCol w:w="602"/>
        <w:gridCol w:w="604"/>
        <w:gridCol w:w="287"/>
        <w:gridCol w:w="839"/>
        <w:gridCol w:w="148"/>
        <w:gridCol w:w="109"/>
        <w:gridCol w:w="109"/>
        <w:gridCol w:w="109"/>
        <w:gridCol w:w="380"/>
        <w:gridCol w:w="1112"/>
        <w:gridCol w:w="278"/>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8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4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27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c>
          <w:tcPr>
            <w:tcW w:w="2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2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231F20"/>
          <w:sz w:val="20"/>
        </w:rPr>
      </w:pPr>
      <w:r>
        <w:rPr>
          <w:rFonts w:ascii="Times New Roman;serif" w:hAnsi="Times New Roman;serif"/>
          <w:b w:val="false"/>
          <w:color w:val="231F20"/>
          <w:sz w:val="20"/>
        </w:rPr>
        <w:t xml:space="preserve">The accumulated goodwill impairment for patient services was $26,179 as of June 30, 2026, December 31, 2025 and January 1, 2025. The accumulated goodwill impairment for clinical trials &amp; others was $632 as of June 30, 2026 and December 31, 2025. There was no accumulated goodwill impairment for specialty pharmacy as of June 30, 2026, December 31, 2025 and January 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Note 18. Net Loss Per Share</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computation of the Company's basic and diluted net loss per share to common stockholders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84"/>
        <w:gridCol w:w="1296"/>
        <w:gridCol w:w="1304"/>
        <w:gridCol w:w="297"/>
        <w:gridCol w:w="889"/>
        <w:gridCol w:w="112"/>
        <w:gridCol w:w="112"/>
        <w:gridCol w:w="112"/>
        <w:gridCol w:w="112"/>
        <w:gridCol w:w="240"/>
        <w:gridCol w:w="846"/>
        <w:gridCol w:w="112"/>
        <w:gridCol w:w="109"/>
        <w:gridCol w:w="109"/>
        <w:gridCol w:w="109"/>
        <w:gridCol w:w="264"/>
        <w:gridCol w:w="922"/>
        <w:gridCol w:w="109"/>
        <w:gridCol w:w="109"/>
        <w:gridCol w:w="109"/>
        <w:gridCol w:w="109"/>
        <w:gridCol w:w="240"/>
        <w:gridCol w:w="841"/>
        <w:gridCol w:w="159"/>
      </w:tblGrid>
      <w:tr>
        <w:trPr/>
        <w:tc>
          <w:tcPr>
            <w:tcW w:w="15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28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4"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Starling</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Starling available for distribution</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participating securities, 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103,031,493 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93,203,665 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102,419,949 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85,195,734 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per share attributable to common stockholders, basic and diluted</w:t>
            </w:r>
          </w:p>
        </w:tc>
        <w:tc>
          <w:tcPr>
            <w:tcW w:w="29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potentially dilutive outstanding securities were excluded from the computation of diluted net loss per share because their effect would have been anti-dilutive for the periods presented:</w:t>
      </w:r>
    </w:p>
    <w:tbl>
      <w:tblPr>
        <w:tblW w:w="10205" w:type="dxa"/>
        <w:jc w:val="left"/>
        <w:tblInd w:w="0" w:type="dxa"/>
        <w:tblLayout w:type="fixed"/>
        <w:tblCellMar>
          <w:top w:w="28" w:type="dxa"/>
          <w:left w:w="28" w:type="dxa"/>
          <w:bottom w:w="28" w:type="dxa"/>
          <w:right w:w="28" w:type="dxa"/>
        </w:tblCellMar>
      </w:tblPr>
      <w:tblGrid>
        <w:gridCol w:w="1320"/>
        <w:gridCol w:w="1160"/>
        <w:gridCol w:w="1165"/>
        <w:gridCol w:w="754"/>
        <w:gridCol w:w="327"/>
        <w:gridCol w:w="190"/>
        <w:gridCol w:w="190"/>
        <w:gridCol w:w="190"/>
        <w:gridCol w:w="190"/>
        <w:gridCol w:w="754"/>
        <w:gridCol w:w="327"/>
        <w:gridCol w:w="190"/>
        <w:gridCol w:w="109"/>
        <w:gridCol w:w="109"/>
        <w:gridCol w:w="109"/>
        <w:gridCol w:w="668"/>
        <w:gridCol w:w="413"/>
        <w:gridCol w:w="176"/>
        <w:gridCol w:w="176"/>
        <w:gridCol w:w="176"/>
        <w:gridCol w:w="176"/>
        <w:gridCol w:w="649"/>
        <w:gridCol w:w="432"/>
        <w:gridCol w:w="255"/>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10,838,000 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10,842,525 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10,842,525 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3,858,975 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4,481,261 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3,858,975 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4,481,261 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4,219,428 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3,356,847 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4,219,428 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3,356,847 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5,749,986 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2,187,283 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Warrants in connection with private placement and exchange agreement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8,216,918 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8,628,980 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8,216,918 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8,628,980 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Note 19. Segment Information</w:t>
      </w:r>
    </w:p>
    <w:p>
      <w:pPr>
        <w:pStyle w:val="TextBody"/>
        <w:bidi w:val="0"/>
        <w:spacing w:lineRule="auto" w:line="288" w:before="0" w:after="18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Company operates its business and reports its results through three operating and reportable segments: specialty pharmacy, patient services, and clinical trials &amp; other in accordance with ASC 280. See Note 2 for a summary of the Company’s policy on segment information.</w:t>
      </w:r>
    </w:p>
    <w:p>
      <w:pPr>
        <w:pStyle w:val="TextBody"/>
        <w:bidi w:val="0"/>
        <w:spacing w:lineRule="auto" w:line="288" w:before="0" w:after="18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Summarized financial information for the Company’s segments is shown in the following tables:</w:t>
      </w:r>
    </w:p>
    <w:tbl>
      <w:tblPr>
        <w:tblW w:w="10205" w:type="dxa"/>
        <w:jc w:val="left"/>
        <w:tblInd w:w="0" w:type="dxa"/>
        <w:tblLayout w:type="fixed"/>
        <w:tblCellMar>
          <w:top w:w="28" w:type="dxa"/>
          <w:left w:w="28" w:type="dxa"/>
          <w:bottom w:w="28" w:type="dxa"/>
          <w:right w:w="28" w:type="dxa"/>
        </w:tblCellMar>
      </w:tblPr>
      <w:tblGrid>
        <w:gridCol w:w="1695"/>
        <w:gridCol w:w="1444"/>
        <w:gridCol w:w="1451"/>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9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111,866 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revenue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161,282 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308,723 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224,208 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Intravenous (IV) drug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64,213 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Clinician salaries and benefits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medical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supplies and 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patient services (A)</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51,150 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98,230 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 (B)</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90,949 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 (C)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direct costs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134,117 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258,243 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189,458 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depreciation expense</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amortization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31,643 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items not allocated to segments:</w:t>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Non-segment 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consolidated operating loss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(21,122)</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0020" w:type="dxa"/>
        <w:jc w:val="left"/>
        <w:tblInd w:w="0" w:type="dxa"/>
        <w:tblLayout w:type="fixed"/>
        <w:tblCellMar>
          <w:top w:w="28" w:type="dxa"/>
          <w:left w:w="28" w:type="dxa"/>
          <w:bottom w:w="28" w:type="dxa"/>
          <w:right w:w="28" w:type="dxa"/>
        </w:tblCellMar>
      </w:tblPr>
      <w:tblGrid>
        <w:gridCol w:w="1618"/>
        <w:gridCol w:w="1424"/>
        <w:gridCol w:w="1427"/>
        <w:gridCol w:w="225"/>
        <w:gridCol w:w="739"/>
        <w:gridCol w:w="116"/>
        <w:gridCol w:w="116"/>
        <w:gridCol w:w="116"/>
        <w:gridCol w:w="116"/>
        <w:gridCol w:w="225"/>
        <w:gridCol w:w="851"/>
        <w:gridCol w:w="116"/>
        <w:gridCol w:w="109"/>
        <w:gridCol w:w="109"/>
        <w:gridCol w:w="109"/>
        <w:gridCol w:w="211"/>
        <w:gridCol w:w="796"/>
        <w:gridCol w:w="109"/>
        <w:gridCol w:w="109"/>
        <w:gridCol w:w="109"/>
        <w:gridCol w:w="109"/>
        <w:gridCol w:w="211"/>
        <w:gridCol w:w="79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loss before provision for income taxes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34" w:type="dxa"/>
        <w:jc w:val="left"/>
        <w:tblInd w:w="0" w:type="dxa"/>
        <w:tblLayout w:type="fixed"/>
        <w:tblCellMar>
          <w:top w:w="28" w:type="dxa"/>
          <w:left w:w="28" w:type="dxa"/>
          <w:bottom w:w="28" w:type="dxa"/>
          <w:right w:w="28" w:type="dxa"/>
        </w:tblCellMar>
      </w:tblPr>
      <w:tblGrid>
        <w:gridCol w:w="928"/>
        <w:gridCol w:w="817"/>
        <w:gridCol w:w="819"/>
        <w:gridCol w:w="234"/>
        <w:gridCol w:w="919"/>
        <w:gridCol w:w="121"/>
        <w:gridCol w:w="109"/>
        <w:gridCol w:w="109"/>
        <w:gridCol w:w="109"/>
        <w:gridCol w:w="313"/>
        <w:gridCol w:w="1228"/>
        <w:gridCol w:w="228"/>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accounts receivable</w:t>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FFS accounts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IV drug inventory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27,989 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74,657 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accounts receivable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Oral drug inventory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Non-segment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67,879 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178,233 </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164,656 </w:t>
            </w:r>
          </w:p>
        </w:tc>
        <w:tc>
          <w:tcPr>
            <w:tcW w:w="22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The Company’s chief operating decision maker "or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when making decisions about allocating capital and personnel to the segments. The CODM also uses segment operating income for evaluating drug pricing to assess each segment’s performance by comparing the results and return on assets of each segment with one another and in the compensation of specific employees.</w:t>
      </w:r>
    </w:p>
    <w:p>
      <w:pPr>
        <w:pStyle w:val="TextBody"/>
        <w:bidi w:val="0"/>
        <w:spacing w:lineRule="auto" w:line="288" w:before="200" w:after="200"/>
        <w:jc w:val="left"/>
        <w:rPr/>
      </w:pPr>
      <w:r>
        <w:rPr>
          <w:rFonts w:ascii="Times New Roman;serif" w:hAnsi="Times New Roman;serif"/>
          <w:b w:val="false"/>
          <w:color w:val="231F20"/>
          <w:sz w:val="20"/>
        </w:rPr>
        <w:t xml:space="preserve">(A) Direct costs - patient services primarily includes chemotherapy drug costs, clinician salaries and benefits, and medical supplies. Clinicians include oncologists, advanced practice providers such as physician assistants and nurse practitioners, and registered nurses employed by the </w:t>
      </w:r>
      <w:r>
        <w:rPr>
          <w:rFonts w:ascii="Times New Roman;serif" w:hAnsi="Times New Roman;serif"/>
          <w:b w:val="false"/>
          <w:color w:val="000000"/>
          <w:sz w:val="20"/>
        </w:rPr>
        <w:t>Starling</w:t>
      </w:r>
      <w:r>
        <w:rPr>
          <w:color w:val="231F20"/>
        </w:rPr>
        <w:t xml:space="preserve"> </w:t>
      </w:r>
      <w:r>
        <w:rPr>
          <w:rFonts w:ascii="Times New Roman;serif" w:hAnsi="Times New Roman;serif"/>
          <w:b w:val="false"/>
          <w:color w:val="231F20"/>
          <w:sz w:val="20"/>
        </w:rPr>
        <w:t xml:space="preserve">PCs. These costs are regularly provided to the CODM to evaluate IV drug costs and clinician performance. </w:t>
      </w:r>
    </w:p>
    <w:p>
      <w:pPr>
        <w:pStyle w:val="TextBody"/>
        <w:bidi w:val="0"/>
        <w:spacing w:lineRule="auto" w:line="288" w:before="200" w:after="200"/>
        <w:jc w:val="left"/>
        <w:rPr/>
      </w:pPr>
      <w:r>
        <w:rPr>
          <w:rFonts w:ascii="Times New Roman;serif" w:hAnsi="Times New Roman;serif"/>
          <w:b w:val="false"/>
          <w:color w:val="231F20"/>
          <w:sz w:val="20"/>
        </w:rPr>
        <w:t xml:space="preserve">(B) Direct costs - specialty pharmacy primarily includes the cost of oral medications dispensed in the </w:t>
      </w:r>
      <w:r>
        <w:rPr>
          <w:rFonts w:ascii="Times New Roman;serif" w:hAnsi="Times New Roman;serif"/>
          <w:b w:val="false"/>
          <w:color w:val="000000"/>
          <w:sz w:val="20"/>
        </w:rPr>
        <w:t>Starling</w:t>
      </w:r>
      <w:r>
        <w:rPr>
          <w:color w:val="231F20"/>
        </w:rPr>
        <w:t xml:space="preserve"> </w:t>
      </w:r>
      <w:r>
        <w:rPr>
          <w:rFonts w:ascii="Times New Roman;serif" w:hAnsi="Times New Roman;serif"/>
          <w:b w:val="false"/>
          <w:color w:val="231F20"/>
          <w:sz w:val="20"/>
        </w:rPr>
        <w:t xml:space="preserve">PCs’ clinic locations. The CODM regularly reviews these costs evaluate drug margins, compression, and to evaluate suppliers. </w:t>
      </w:r>
    </w:p>
    <w:p>
      <w:pPr>
        <w:pStyle w:val="TextBody"/>
        <w:bidi w:val="0"/>
        <w:spacing w:lineRule="auto" w:line="288" w:before="200" w:after="200"/>
        <w:jc w:val="left"/>
        <w:rPr>
          <w:rFonts w:ascii="Times New Roman;serif" w:hAnsi="Times New Roman;serif"/>
          <w:b w:val="false"/>
          <w:color w:val="231F20"/>
          <w:sz w:val="20"/>
        </w:rPr>
      </w:pPr>
      <w:r>
        <w:rPr>
          <w:rFonts w:ascii="Times New Roman;serif" w:hAnsi="Times New Roman;serif"/>
          <w:b w:val="false"/>
          <w:color w:val="231F20"/>
          <w:sz w:val="20"/>
        </w:rPr>
        <w:t>(C) Direct costs - clinical trials &amp; other primarily includes costs related to clinical trial contracts and medical supplies.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Note 20. Subsequent events</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On July 1, 2026, the Company entered into a Credit Agreement (the “Term Loan Agreement”), by and among the Company, the lenders from time to time party thereto, and Orbimed Opportunities (CA) V LLC, as the initial lender and administrative agent. The Term Loan Agreement provides for a term loan facility in an aggregate principal amount of $75 million, which was drawn in full on the date of entry into the Term Loan Agreement (the “Closing Date”). Loans under the Term Loan Agreement bear interest at a monthly rate equal to the higher of (i) the forward-looking one-month term rate based on the secured overnight financing rate on the day that is two business days prior to the first day of any month and (ii) 3.00% plus, in either case, the 5.75%.</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 xml:space="preserve">Loans under the Term Loan Agreement will mature on the first to occur of (i) July 1, 2031, and (ii) the date of acceleration of such loans upon the occurrence and during the continuance of an event of default. The Term Loan Agreement contains certain customary default provisions, representations and warranties and affirmative and negative covenants, including (a) limitations on the ability to engage in unrelated lines of business; (b) limitations on the incurrence of additional indebtedness and liens; (c) limitations on investments; (d) limitations on the payment of dividends and certain other restricted payments; (e) limitations on the ability to effect mergers and consolidations; (f) limitations on the ability to sell or dispose of property or assets; (g)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limitations on modifications of certain agreements; (h) limitations on the ability to enter into transactions with affiliates; (i) limitations on sale leaseback transactions; (j) limitations on benefits plans and agreements; and (k) a minimum net revenue requirement of at least $700 million for each most recently ended period of twelve consecutive months, commencing with the month ending December 31, 2027, and for each month thereafter.</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All indebtedness outstanding under the Term Loan Agreement is guaranteed by certain of the Company’s direct and indirect subsidiaries (the “Guarantors”). The indebtedness under the Term Loan Agreement is secured by a first-priority security interest in and lien on substantially all assets of the Company and the Guarantors pursuant to that certain Pledge and Security Agreement dated as of July 1, 2026 (the “Security Agreement”).</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Beginning with the first fiscal quarter ending after the 36-month anniversary of the Closing Date, the loans under the Term Loan Agreement will amortize in quarterly installments equal to 7.5% of the outstanding principal amount as of such date, together with a repayment premium and exit fee. The Company may elect to prepay loans under the Term Loan Agreement, in whole or in part, subject to a repayment premium and an exit fee. Additionally, loans under the Term Loan Agreement are subject to certain mandatory prepayment events, including by amounts equal to certain proceeds received by the Company from insurance recoveries related to casualty events and dispositions.</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On the Closing Date, the Company used the proceeds from the loans under the Term Loan Agreement, together with cash on hand, to repay in full the Company’s 4% senior secured convertible notes due 2027 (the “2027 Convertible Notes”), of which, as of July 1, 2026, there was approx. $86 million aggregate principal amount outstanding.</w:t>
      </w:r>
    </w:p>
    <w:p>
      <w:pPr>
        <w:pStyle w:val="TextBody"/>
        <w:bidi w:val="0"/>
        <w:spacing w:lineRule="auto" w:line="288" w:before="200" w:after="200"/>
        <w:jc w:val="both"/>
        <w:rPr>
          <w:rFonts w:ascii="Times New Roman;serif" w:hAnsi="Times New Roman;serif"/>
          <w:b w:val="false"/>
          <w:color w:val="231F20"/>
          <w:sz w:val="20"/>
        </w:rPr>
      </w:pPr>
      <w:r>
        <w:rPr>
          <w:rFonts w:ascii="Times New Roman;serif" w:hAnsi="Times New Roman;serif"/>
          <w:b w:val="false"/>
          <w:color w:val="231F20"/>
          <w:sz w:val="20"/>
        </w:rPr>
        <w:t>As a part of the repayment of the 2027 Convertible Notes, the Company issued warrant agreements to purchase shares of common stock of the Company to Deerfield Partners, L.P. and its affiliates, with an expiration date of August 9, 2027 and an initial exercise price of $8.567 per share. The total number of shares of common stock underlying the Warrants is 10,025,535 shares. No additional consideration was paid to the Company by the warrant holders for the issuance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management believes is relevant to an assessment and understanding of the consolidated results of operations and financial condition of Starling Oncology, Inc. ("STLN") along with its consolidating subsidiaries (the "Company"). The discussion should be read together with the unaudited condensed consolidated financial statements and the related notes that are included elsewhere in this Quarterly Report on Form 10-Q. The information in this discussion contains forward-looking statements within the meaning of Section 27A of the Securities Act of 1933, as amended (the "Securities Act"), and Section 21E of the Securities Exchange Act of 1934, as amended (the "Exchange Act"). Such statements are based upon current expectations, as well as management's beliefs and assumptions and involve a high degree of risk and uncertainty. Any statements contained herein that are not statements of historical fact may be deemed to be forward-looking statements. Statements that include the words "believes," "anticipates," "plans," "expects." "intends," and similar expressions that convey uncertainty of future events or outcomes are forward-looking statements. Our actual results could differ materially from those discussed or suggested in the forward-looking statements herein. Factors that could cause or contribute to such differences include those described under the heading "Risk Factors" (Item 1A) in our Annual Report on Form 10-K for the year ended December 31, 2025, which was filed with the Securities and Exchange Commission on March 12, 2026. In addition, as a result of these and other factors, our past financial performance should not be relied on as an indication of future performance. All forward-looking statements in this document are based on information available to us as of the filing date of this Quarterly Report on Form 10-Q and we assume no obligation to update any forward-looking statements, except as required by law.</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the context dictates otherwise, references in this Report on Form 10-Q to the “Company,” “we,” “us,” “our,” and similar words are references to Starling Oncology, Inc., a Delaware corporation (“STLN”), and its consolidated subsidiaries and affiliated entities, as appropriate, including its consolidated variable interest entities (“VIEs”). All dollar values are expressed in thousands,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is a leading value-based oncology company that manages community-based oncology practices for the Company and for independent oncology practices that together serve patients across 17 markets and </w:t>
      </w:r>
      <w:r>
        <w:rPr>
          <w:rFonts w:ascii="Times New Roman;serif" w:hAnsi="Times New Roman;serif"/>
          <w:b w:val="false"/>
          <w:color w:val="231F20"/>
          <w:sz w:val="20"/>
        </w:rPr>
        <w:t>five</w:t>
      </w:r>
      <w:r>
        <w:rPr>
          <w:color w:val="000000"/>
        </w:rPr>
        <w:t xml:space="preserve"> </w:t>
      </w:r>
      <w:r>
        <w:rPr>
          <w:rFonts w:ascii="Times New Roman;serif" w:hAnsi="Times New Roman;serif"/>
          <w:b w:val="false"/>
          <w:color w:val="000000"/>
          <w:sz w:val="20"/>
        </w:rPr>
        <w:t>states throughout the United States. As of June 30, 2026, we operate</w:t>
      </w:r>
      <w:r>
        <w:rPr>
          <w:color w:val="231F20"/>
        </w:rPr>
        <w:t xml:space="preserve"> </w:t>
      </w:r>
      <w:r>
        <w:rPr>
          <w:rFonts w:ascii="Times New Roman;serif" w:hAnsi="Times New Roman;serif"/>
          <w:b w:val="false"/>
          <w:color w:val="000000"/>
          <w:sz w:val="20"/>
        </w:rPr>
        <w:t>65</w:t>
      </w:r>
      <w:r>
        <w:rPr>
          <w:color w:val="231F20"/>
        </w:rPr>
        <w:t xml:space="preserve"> </w:t>
      </w:r>
      <w:r>
        <w:rPr>
          <w:rFonts w:ascii="Times New Roman;serif" w:hAnsi="Times New Roman;serif"/>
          <w:b w:val="false"/>
          <w:color w:val="231F20"/>
          <w:sz w:val="20"/>
        </w:rPr>
        <w:t xml:space="preserve">community-based oncology practices, staffed with </w:t>
      </w:r>
      <w:r>
        <w:rPr>
          <w:rFonts w:ascii="Times New Roman;serif" w:hAnsi="Times New Roman;serif"/>
          <w:b w:val="false"/>
          <w:color w:val="000000"/>
          <w:sz w:val="20"/>
        </w:rPr>
        <w:t>125</w:t>
      </w:r>
      <w:r>
        <w:rPr>
          <w:color w:val="231F20"/>
        </w:rPr>
        <w:t xml:space="preserve"> </w:t>
      </w:r>
      <w:r>
        <w:rPr>
          <w:rFonts w:ascii="Times New Roman;serif" w:hAnsi="Times New Roman;serif"/>
          <w:b w:val="false"/>
          <w:color w:val="231F20"/>
          <w:sz w:val="20"/>
        </w:rPr>
        <w:t>oncologists and advanced practice providers employed by our affiliated physician-owned professional corporations, referred to as the "Starling PCs." In addition to our Starling-affiliated providers, we also manage a network of 791 providers in Florida under the Florida Oncology Network brand and 11 network providers in California. Collectively across the provider base, as of June 30, 2026, we manage a population of approximately 2.1 million patients under value-based agreements</w:t>
      </w:r>
      <w:r>
        <w:rPr>
          <w:rFonts w:ascii="Times New Roman;serif" w:hAnsi="Times New Roman;serif"/>
          <w:b w:val="false"/>
          <w:color w:val="000000"/>
          <w:sz w:val="20"/>
        </w:rPr>
        <w:t xml:space="preserve">. The Company's mission is to heal and empower cancer patients through compassion, innovation, and state-of-the-art medical care.. </w:t>
      </w:r>
    </w:p>
    <w:p>
      <w:pPr>
        <w:pStyle w:val="TextBody"/>
        <w:bidi w:val="0"/>
        <w:spacing w:lineRule="auto" w:line="288" w:before="0" w:after="200"/>
        <w:ind w:left="0" w:right="0" w:firstLine="360"/>
        <w:jc w:val="both"/>
        <w:rPr/>
      </w:pPr>
      <w:r>
        <w:rPr>
          <w:rFonts w:ascii="Times New Roman;serif" w:hAnsi="Times New Roman;serif"/>
          <w:b w:val="false"/>
          <w:color w:val="231F20"/>
          <w:sz w:val="20"/>
        </w:rPr>
        <w:t>Operationally, the Company’s medical centers provide a complete suite of medical oncology services, including: physician services, in-house infusion, in-house specialty pharmacy, clinical trials, radiation therapy, educational seminars, support groups, counseling, and 24/7 patient assistance.</w:t>
      </w:r>
      <w:r>
        <w:rPr>
          <w:color w:val="000000"/>
        </w:rPr>
        <w:t xml:space="preserve"> </w:t>
      </w:r>
      <w:r>
        <w:rPr>
          <w:rFonts w:ascii="Times New Roman;serif" w:hAnsi="Times New Roman;serif"/>
          <w:b w:val="false"/>
          <w:color w:val="000000"/>
          <w:sz w:val="20"/>
        </w:rPr>
        <w:t>Many of our services, such as managing clinical trials and palliative care programs, are traditionally accessed through academic and tertiary care settings, while the Starling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value-based oncology company, the Company seeks to deliver both better quality care and lower cost of care for payors and patients. The Company works to accomplish this goal by reducing wasteful, inefficient or counterproductive care that drives up costs but does not improve outcomes. The Company believes payors and employers are aligned with the value-based model due to its enhanced access, improved outcomes, and lower costs. Patients under the Company's affiliated providers’ care can benefit from evidence-based and personalized care plans, gain access to sub-specialized care in convenient community locations, and lower out-of-pocket costs. The Company believes its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allow our independent network participating providers to access the ability to treat patient populations that are managed under value-based care contracts without the need to incur costs required to build clinical or operational infrastructure typical for risk-bearing entities, or to adopt new operational frameworks which may be disruptive to their existing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(v) other third-party payors and managed care organizations (e.g., risk bearing organizations and independent practice associations (“IPAs”)); and (vi) individual patients and clients.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Revenue primarily consists of capitation revenue, fee-for-service (“FFS”) revenue, </w:t>
      </w:r>
      <w:r>
        <w:rPr>
          <w:rFonts w:ascii="Times New Roman;serif" w:hAnsi="Times New Roman;serif"/>
          <w:b w:val="false"/>
          <w:color w:val="231F20"/>
          <w:sz w:val="20"/>
        </w:rPr>
        <w:t>specialty pharmacy</w:t>
      </w:r>
      <w:r>
        <w:rPr>
          <w:color w:val="000000"/>
        </w:rPr>
        <w:t xml:space="preserve"> </w:t>
      </w:r>
      <w:r>
        <w:rPr>
          <w:rFonts w:ascii="Times New Roman;serif" w:hAnsi="Times New Roman;serif"/>
          <w:b w:val="false"/>
          <w:color w:val="000000"/>
          <w:sz w:val="20"/>
        </w:rPr>
        <w:t>revenue, and clinical trials revenue. Capitation and FFS revenue comprise the revenues within the Company’s patient services segment and are presented together in the results of operations. The following paragraphs provide a summary of the principal forms of our billing arrangements and how revenue is recognized for each type of revenue.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Capitation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Capitation revenues consist primarily of fees for medical services provided by the Starling PCs to the Company's patients under a capitated arrangement with various managed care organizations. Capitation revenue is paid monthly based on the number of enrollees by the contracted managed care organization (per member per month or “PMPM”). Capitation contracts generally have a legal term of one year or longer. Payments in capitation contracts are variable since they primarily include PMPM fees associated with unspecified membership that fluctuate throughout the term of the contract; however, based on our experience, our total underlying membership generally increases over time as penetration of Medicare Advantage products grows. Certain contracts include terms for a capitation deduction where the cost of out-of-network referrals of members are deducted from the future payment. Revenue is recognized in the month services are rendered on the basis of the transaction price established at that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Fee-for-service 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FFS revenue represents revenue earned under contracts in which we bill and collect for specific medical services rendered by the Starling PCs’ employed physicians. The terms for FFS contracts are short in duration and only last for the period over which services are rendered (typically, one day). FFS revenue consists of fees for medical services provided to patients. As specialist providers, our FFS revenue is dependent on referrals from other physicians, such as primary care physicians. The Company's affiliated providers build trusted, professional relationships with these physicians and their associated medical groups, which can lead to recurring FFS volume; however, this volume is subject to numerous factors the Company cannot control and can fluctuate over time. The Company also receives FFS revenue for capitated patients that receive medical services which are excluded from the Company's capitation contracts. Under the FFS arrangements, third-party payors and patients are billed for patient care services provided by the Starling PCs.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 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visit, the forwarding of such charts to our billing center for medical coding and entering into the Company's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the Company's billing systems as well as an estimate of the revenue associated with medical services.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Specialty Pharmacy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Oral prescription drugs prescribed by doctors to their patients are sold directly through the Starling PCs’ dispensaries. Revenue for the prescriptions is based on fee schedules set by various PBMs and other third-party payors.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Clinical trials &amp; other revenue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Starling PCs also enter into contracts to perform clinical research trials. The terms of the clinical trial contracts vary depending on the length of time required for the clinical research. Each contract represents a single, integrated set of research activities that are satisfied over time as the output of results from the trial is captured for the trial sponsor to review.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20"/>
        </w:rPr>
        <w:t xml:space="preserve">clinical trial contracts, the Starling PCs receive a fixed payment for administrative, set-up, and close-down fees; a fixed amount for each patient site visit; and certain expense reimbursements. The Company recognizes revenue for these arrangements on the fees earned to date based on the state of the trial, as established under contract with the customer. </w:t>
      </w:r>
      <w:r>
        <w:rPr>
          <w:rFonts w:ascii="Times New Roman;serif" w:hAnsi="Times New Roman;serif"/>
          <w:b w:val="false"/>
          <w:color w:val="231F20"/>
          <w:sz w:val="20"/>
        </w:rPr>
        <w:t>O</w:t>
      </w:r>
      <w:r>
        <w:rPr>
          <w:rFonts w:ascii="Times New Roman;serif" w:hAnsi="Times New Roman;serif"/>
          <w:b w:val="false"/>
          <w:color w:val="000000"/>
          <w:sz w:val="20"/>
        </w:rPr>
        <w:t xml:space="preserve">n March 31, 2025, the Company entered into a Research Services Agreement ("RSA") with Helios CR, Inc. ("Helios"), effective May 5, 2025, pursuant to which the Helios operates our Clinical Trials &amp; other segment under a profit sharing arrangement with the Company. As part of the RSA, there is a Transition Services Agreement, pursuant to which certain administrative and professional services are provided by Helios for a certain period of time. Additionally, the Company pays a management fee to Helios on a periodic basis for certain shared services.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Direct costs - patient services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patient services primarily includes chemotherapy drug costs, clinician salaries and benefits, and medical supplies. Clinicians include oncologists, advanced practice providers such as physician assistants and nurse practitioners, and registered nurses employed by the Starling PCs.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Direct costs - specialty pharmacy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specialty pharmacy primarily includes the cost of oral medications dispensed in the Starling PCs’ clinic locations.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Direct costs - clinical trials &amp; other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Direct costs - clinical trials &amp; other primarily includes costs related to clinical trial contracts and medical supplies.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Network medical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Network medical expense is the cost of care delivered by our independent network providers and paid by Starling under our fully delegated contracts. For presentation purposes, we eliminate the portion of network medical expense that is paid to Starling PCs who participate in these fully delegated networks.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employee-related expenses, including both clinic and field support staff as well as central administrative and corporate staff. These expenses include salaries and related costs and stock-based compensation for our executives and physicians. The Company's selling, general and administrative expenses also includes occupancy costs, technology infrastructure, operations, clinical and quality support, finance, legal, human resources, and business development. General and administrative expenses are expected to increase over time, due to the legal, accounting, insurance, investor relations and other costs that the Company incurs as a public company, as well as other costs associated with continuing to grow the business. While the Company expects its selling, general and administrative expenses to increase in absolute dollars in the foreseeable future. such expenses are on average expected to decrease as a percentage of revenue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data expressed as a percentage of total revenues for the periods indicated. The Company’s management is not aware of material events or uncertainties that would cause the financial information below to not be indicative of future operating results or results of future financial condition, although past results should not be relied upon as an indication of future performance or future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8665" w:type="dxa"/>
        <w:jc w:val="left"/>
        <w:tblInd w:w="0" w:type="dxa"/>
        <w:tblLayout w:type="fixed"/>
        <w:tblCellMar>
          <w:top w:w="28" w:type="dxa"/>
          <w:left w:w="28" w:type="dxa"/>
          <w:bottom w:w="28" w:type="dxa"/>
          <w:right w:w="28" w:type="dxa"/>
        </w:tblCellMar>
      </w:tblPr>
      <w:tblGrid>
        <w:gridCol w:w="1885"/>
        <w:gridCol w:w="1658"/>
        <w:gridCol w:w="1662"/>
        <w:gridCol w:w="352"/>
        <w:gridCol w:w="264"/>
        <w:gridCol w:w="545"/>
        <w:gridCol w:w="219"/>
        <w:gridCol w:w="219"/>
        <w:gridCol w:w="219"/>
        <w:gridCol w:w="352"/>
        <w:gridCol w:w="264"/>
        <w:gridCol w:w="545"/>
        <w:gridCol w:w="109"/>
        <w:gridCol w:w="109"/>
        <w:gridCol w:w="109"/>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Patient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Pharmacy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&amp; other</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warrant liabilities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conversion option derivative liabilities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non-operating expense (income)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231F20"/>
          <w:sz w:val="20"/>
        </w:rPr>
      </w:pPr>
      <w:r>
        <w:rPr>
          <w:rFonts w:ascii="Times New Roman;serif" w:hAnsi="Times New Roman;serif"/>
          <w:b/>
          <w:color w:val="231F20"/>
          <w:sz w:val="20"/>
        </w:rPr>
        <w:t xml:space="preserve">Comparison of the Three and Six Months Ended June 30, 2026 and 2025 </w:t>
      </w:r>
    </w:p>
    <w:p>
      <w:pPr>
        <w:pStyle w:val="TextBody"/>
        <w:bidi w:val="0"/>
        <w:spacing w:lineRule="auto" w:line="288" w:before="200" w:after="240"/>
        <w:jc w:val="both"/>
        <w:rPr>
          <w:rFonts w:ascii="Times New Roman;serif" w:hAnsi="Times New Roman;serif"/>
          <w:b/>
          <w:color w:val="231F20"/>
          <w:sz w:val="20"/>
        </w:rPr>
      </w:pPr>
      <w:r>
        <w:rPr>
          <w:rFonts w:ascii="Times New Roman;serif" w:hAnsi="Times New Roman;serif"/>
          <w:b/>
          <w:color w:val="231F20"/>
          <w:sz w:val="20"/>
        </w:rPr>
        <w:t>Revenue</w:t>
      </w:r>
    </w:p>
    <w:tbl>
      <w:tblPr>
        <w:tblW w:w="10790" w:type="dxa"/>
        <w:jc w:val="left"/>
        <w:tblInd w:w="0" w:type="dxa"/>
        <w:tblLayout w:type="fixed"/>
        <w:tblCellMar>
          <w:top w:w="28" w:type="dxa"/>
          <w:left w:w="28" w:type="dxa"/>
          <w:bottom w:w="28" w:type="dxa"/>
          <w:right w:w="28" w:type="dxa"/>
        </w:tblCellMar>
      </w:tblPr>
      <w:tblGrid>
        <w:gridCol w:w="310"/>
        <w:gridCol w:w="272"/>
        <w:gridCol w:w="27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8"/>
        <w:gridCol w:w="278"/>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0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8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Pharmacy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Clinical trials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operating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Patient services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patient services revenue for the three and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compared to the same periods in the prior year was primarily due to a 48% and 51% increase in capitated revenue, respectively, partially offset by a 17% and 13% decrease, respectively in fee-for-service revenue for the prior year three and six month periods. The increase in capitated revenue was driven by momentum in new markets in addition to the impact of our investments in referral relationship management and our ramp up in new capitated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Specialty pharmacy</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specialty pharmacy revenue for three and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as compared to the same periods in the prior year was primarily driven by continued strength in prescription fill volumes as the Company continues to bring new capitated lives onto the platform, along with the ongoing ramp of our Florida delegated arrangements.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Clinical trials &amp; other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clinical trials and other revenue, compared to the three and six months ended June 30, 2025, was due to the profit sharing agreement as described in Note 1 of the financial statements.</w:t>
      </w:r>
    </w:p>
    <w:p>
      <w:pPr>
        <w:pStyle w:val="TextBody"/>
        <w:bidi w:val="0"/>
        <w:spacing w:lineRule="auto" w:line="288" w:before="200" w:after="240"/>
        <w:jc w:val="both"/>
        <w:rPr>
          <w:rFonts w:ascii="Times New Roman;serif" w:hAnsi="Times New Roman;serif"/>
          <w:b/>
          <w:color w:val="000000"/>
          <w:sz w:val="20"/>
        </w:rPr>
      </w:pPr>
      <w:r>
        <w:rPr>
          <w:rFonts w:ascii="Times New Roman;serif" w:hAnsi="Times New Roman;serif"/>
          <w:b/>
          <w:color w:val="000000"/>
          <w:sz w:val="20"/>
        </w:rPr>
        <w:t>Operating Expenses</w:t>
      </w:r>
    </w:p>
    <w:tbl>
      <w:tblPr>
        <w:tblW w:w="12665" w:type="dxa"/>
        <w:jc w:val="left"/>
        <w:tblInd w:w="0" w:type="dxa"/>
        <w:tblLayout w:type="fixed"/>
        <w:tblCellMar>
          <w:top w:w="28" w:type="dxa"/>
          <w:left w:w="28" w:type="dxa"/>
          <w:bottom w:w="28" w:type="dxa"/>
          <w:right w:w="28" w:type="dxa"/>
        </w:tblCellMar>
      </w:tblPr>
      <w:tblGrid>
        <w:gridCol w:w="678"/>
        <w:gridCol w:w="306"/>
        <w:gridCol w:w="307"/>
        <w:gridCol w:w="293"/>
        <w:gridCol w:w="293"/>
        <w:gridCol w:w="300"/>
        <w:gridCol w:w="109"/>
        <w:gridCol w:w="109"/>
        <w:gridCol w:w="109"/>
        <w:gridCol w:w="211"/>
        <w:gridCol w:w="826"/>
        <w:gridCol w:w="109"/>
        <w:gridCol w:w="109"/>
        <w:gridCol w:w="109"/>
        <w:gridCol w:w="109"/>
        <w:gridCol w:w="211"/>
        <w:gridCol w:w="721"/>
        <w:gridCol w:w="109"/>
        <w:gridCol w:w="109"/>
        <w:gridCol w:w="109"/>
        <w:gridCol w:w="109"/>
        <w:gridCol w:w="314"/>
        <w:gridCol w:w="317"/>
        <w:gridCol w:w="271"/>
        <w:gridCol w:w="109"/>
        <w:gridCol w:w="109"/>
        <w:gridCol w:w="109"/>
        <w:gridCol w:w="294"/>
        <w:gridCol w:w="294"/>
        <w:gridCol w:w="298"/>
        <w:gridCol w:w="109"/>
        <w:gridCol w:w="109"/>
        <w:gridCol w:w="109"/>
        <w:gridCol w:w="211"/>
        <w:gridCol w:w="826"/>
        <w:gridCol w:w="109"/>
        <w:gridCol w:w="109"/>
        <w:gridCol w:w="109"/>
        <w:gridCol w:w="109"/>
        <w:gridCol w:w="211"/>
        <w:gridCol w:w="721"/>
        <w:gridCol w:w="109"/>
        <w:gridCol w:w="109"/>
        <w:gridCol w:w="109"/>
        <w:gridCol w:w="109"/>
        <w:gridCol w:w="314"/>
        <w:gridCol w:w="317"/>
        <w:gridCol w:w="271"/>
        <w:gridCol w:w="109"/>
        <w:gridCol w:w="109"/>
        <w:gridCol w:w="109"/>
        <w:gridCol w:w="109"/>
        <w:gridCol w:w="109"/>
        <w:gridCol w:w="109"/>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patient services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specialty pharmacy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 clinical trials &amp; 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Patient services cost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increase in patient services cost for the three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as compared to the same quarter prior year was primarily due to a 17.3% increase in clinical payroll costs as the Company adjusts physician compensation to better match performance and volume, primarily offset by 11.7% decrease in IV drug costs as the Company leverages it's rebate programs with its primary vendor. The increase in patient service costs for the six months ended </w:t>
      </w:r>
      <w:r>
        <w:rPr>
          <w:rFonts w:ascii="Times New Roman;serif" w:hAnsi="Times New Roman;serif"/>
          <w:b w:val="false"/>
          <w:color w:val="231F20"/>
          <w:sz w:val="20"/>
        </w:rPr>
        <w:t>June 30, 2026 as compared to the same period prior year was primarily due to increases in clinical payroll costs, partially offset by a decrease in IV drug costs.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Specialty pharmacy cost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specialty pharmacy cost for the three months ended June 30, 2026 was primarily due to a 88.3% increase in the number of prescriptions filled offset by a 19.6% decrease in the average cost of the prescriptions filled, as compared to the three months ended June 30, 2025. The increase in specialty pharmacy cost for the six months ended June 30, 2026 was primarily due to a 94.5% increase in the number of prescriptions filled, partially offset by a 16.3% decrease in the average cost of the prescriptions filled, as compared to the six months ended June 30, 2025.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 </w:t>
      </w:r>
    </w:p>
    <w:p>
      <w:pPr>
        <w:pStyle w:val="TextBody"/>
        <w:bidi w:val="0"/>
        <w:spacing w:lineRule="auto" w:line="276" w:before="0" w:after="0"/>
        <w:ind w:left="0" w:right="0" w:firstLine="360"/>
        <w:jc w:val="left"/>
        <w:rPr/>
      </w:pPr>
      <w:r>
        <w:rPr>
          <w:rFonts w:ascii="Times New Roman;serif" w:hAnsi="Times New Roman;serif"/>
          <w:b w:val="false"/>
          <w:color w:val="000000"/>
          <w:sz w:val="20"/>
        </w:rPr>
        <w:t xml:space="preserve">Selling, general and administrative ("SG&amp;A") expenses for the three and six months ended </w:t>
      </w:r>
      <w:r>
        <w:rPr>
          <w:rFonts w:ascii="Times New Roman;serif" w:hAnsi="Times New Roman;serif"/>
          <w:b w:val="false"/>
          <w:color w:val="231F20"/>
          <w:sz w:val="20"/>
        </w:rPr>
        <w:t xml:space="preserve">June 30, 2026 increased 11.3 and 11.2%, respectively, compared to the same periods in the prior year primarily due to the scaling of our business. As a percentage of revenue, SG&amp;A decreased 390 basis points for the three months ended June 30, 2026 as compared to the same period in the prior year which reflected the operating leverage built into the model as the Company's continues to scale, along with cost discipline.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Non-Operating Expense (Income)</w:t>
      </w:r>
    </w:p>
    <w:tbl>
      <w:tblPr>
        <w:tblW w:w="11535" w:type="dxa"/>
        <w:jc w:val="left"/>
        <w:tblInd w:w="0" w:type="dxa"/>
        <w:tblLayout w:type="fixed"/>
        <w:tblCellMar>
          <w:top w:w="28" w:type="dxa"/>
          <w:left w:w="28" w:type="dxa"/>
          <w:bottom w:w="28" w:type="dxa"/>
          <w:right w:w="28" w:type="dxa"/>
        </w:tblCellMar>
      </w:tblPr>
      <w:tblGrid>
        <w:gridCol w:w="670"/>
        <w:gridCol w:w="272"/>
        <w:gridCol w:w="274"/>
        <w:gridCol w:w="196"/>
        <w:gridCol w:w="556"/>
        <w:gridCol w:w="109"/>
        <w:gridCol w:w="109"/>
        <w:gridCol w:w="109"/>
        <w:gridCol w:w="109"/>
        <w:gridCol w:w="196"/>
        <w:gridCol w:w="556"/>
        <w:gridCol w:w="109"/>
        <w:gridCol w:w="109"/>
        <w:gridCol w:w="109"/>
        <w:gridCol w:w="109"/>
        <w:gridCol w:w="196"/>
        <w:gridCol w:w="436"/>
        <w:gridCol w:w="109"/>
        <w:gridCol w:w="109"/>
        <w:gridCol w:w="109"/>
        <w:gridCol w:w="109"/>
        <w:gridCol w:w="284"/>
        <w:gridCol w:w="287"/>
        <w:gridCol w:w="256"/>
        <w:gridCol w:w="109"/>
        <w:gridCol w:w="109"/>
        <w:gridCol w:w="109"/>
        <w:gridCol w:w="196"/>
        <w:gridCol w:w="556"/>
        <w:gridCol w:w="109"/>
        <w:gridCol w:w="109"/>
        <w:gridCol w:w="109"/>
        <w:gridCol w:w="109"/>
        <w:gridCol w:w="196"/>
        <w:gridCol w:w="646"/>
        <w:gridCol w:w="109"/>
        <w:gridCol w:w="109"/>
        <w:gridCol w:w="109"/>
        <w:gridCol w:w="109"/>
        <w:gridCol w:w="196"/>
        <w:gridCol w:w="661"/>
        <w:gridCol w:w="109"/>
        <w:gridCol w:w="109"/>
        <w:gridCol w:w="109"/>
        <w:gridCol w:w="109"/>
        <w:gridCol w:w="284"/>
        <w:gridCol w:w="287"/>
        <w:gridCol w:w="256"/>
        <w:gridCol w:w="109"/>
        <w:gridCol w:w="109"/>
        <w:gridCol w:w="109"/>
        <w:gridCol w:w="109"/>
        <w:gridCol w:w="109"/>
        <w:gridCol w:w="109"/>
        <w:gridCol w:w="109"/>
        <w:gridCol w:w="109"/>
        <w:gridCol w:w="109"/>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warrant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(281.3)</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conversion option derivative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other non-operating expense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(14,451)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(92.6)</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decrease in interest expense for the three and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compared to the prior year periods was primarily the result of a prepayment and debt conversion related to the Senior Secured Convertible Note in which the Company recognized a loss of extinguishment of debt of $2,900 during the first quarter of 2025. The decrease in the principal balance of the Senior Secured Convertible Notes decreased the Company's interest payments for the remainder of 2025 and continuing into 2026.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liabilities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change in the fair value of liabilities was primarily due to the change in the fair value of conversion option derivative liabilities due to stock price fluctuations, term, risk-free rates and volatility for the three and six months ended </w:t>
      </w:r>
      <w:r>
        <w:rPr>
          <w:rFonts w:ascii="Times New Roman;serif" w:hAnsi="Times New Roman;serif"/>
          <w:b w:val="false"/>
          <w:color w:val="231F20"/>
          <w:sz w:val="20"/>
        </w:rPr>
        <w:t>June 30, 2026, as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information, the Company's management reviews a number of operating and financial metrics, including the following key metrics, to evaluate our business, measure our performance, identify trends affecting our business, formulate business plans, and make strategic decisions.</w:t>
      </w:r>
    </w:p>
    <w:tbl>
      <w:tblPr>
        <w:tblW w:w="9419" w:type="dxa"/>
        <w:jc w:val="center"/>
        <w:tblInd w:w="0" w:type="dxa"/>
        <w:tblLayout w:type="fixed"/>
        <w:tblCellMar>
          <w:top w:w="28" w:type="dxa"/>
          <w:left w:w="28" w:type="dxa"/>
          <w:bottom w:w="28" w:type="dxa"/>
          <w:right w:w="28" w:type="dxa"/>
        </w:tblCellMar>
      </w:tblPr>
      <w:tblGrid>
        <w:gridCol w:w="1346"/>
        <w:gridCol w:w="1185"/>
        <w:gridCol w:w="1189"/>
        <w:gridCol w:w="260"/>
        <w:gridCol w:w="576"/>
        <w:gridCol w:w="134"/>
        <w:gridCol w:w="134"/>
        <w:gridCol w:w="134"/>
        <w:gridCol w:w="134"/>
        <w:gridCol w:w="260"/>
        <w:gridCol w:w="854"/>
        <w:gridCol w:w="134"/>
        <w:gridCol w:w="109"/>
        <w:gridCol w:w="109"/>
        <w:gridCol w:w="109"/>
        <w:gridCol w:w="214"/>
        <w:gridCol w:w="701"/>
        <w:gridCol w:w="110"/>
        <w:gridCol w:w="110"/>
        <w:gridCol w:w="110"/>
        <w:gridCol w:w="110"/>
        <w:gridCol w:w="214"/>
        <w:gridCol w:w="701"/>
        <w:gridCol w:w="110"/>
        <w:gridCol w:w="109"/>
        <w:gridCol w:w="109"/>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Affiliated and Network Clinics </w:t>
            </w:r>
            <w:r>
              <w:rPr>
                <w:rFonts w:ascii="Times New Roman;serif" w:hAnsi="Times New Roman;serif"/>
                <w:b w:val="false"/>
                <w:color w:val="000000"/>
                <w:sz w:val="13"/>
              </w:rPr>
              <w:t>(1)</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Lives under value-based contracts (millions)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(in thousands) </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Number of clinics operated under the Starling PCs, whereby we receive a percentage of revenue under our management services agreements, or MSAs, and are consolidated. Additionally, includes independent oncology practices to which we provide limited management services and have network provider agreements, but do not bear the operating costs.</w:t>
      </w:r>
    </w:p>
    <w:p>
      <w:pPr>
        <w:pStyle w:val="TextBody"/>
        <w:bidi w:val="0"/>
        <w:spacing w:lineRule="auto" w:line="288" w:before="0" w:after="20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Adjusted EBITDA is a "non-GAAP" financial measure within the meaning of Item 10 of Regulation S-K promulgated by the SEC. The Company defines Adjusted EBITDA as net income (loss) adjusting 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Depreciation and amortization,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Interest expense, net,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Tax payments and penalties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Non-cash addbacks,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Share-based compensation,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Changes in fair value of liabilities,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Unrealized (gains) losses on investments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Practice acquisition-related costs,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Post combination compensation,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Consulting and certain one-time legal fees,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Infrastructure and workforce costs,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Transaction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Adjusted EBITDA because it is an important measure which our management uses to assess the results of operations, to evaluate factors and trends affecting the business, and to plan and forecast future periods.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this measure provides an additional tool to assess operational performance and trends in, and comparing our financial measures with, other similar companies, many of which present similar non-GAAP financial measures to investors. Be aware that the Company’s non-GAAP financial measure may be different from the non-GAAP financial measures used by other companies, including the Company’s competitors. The use of non-GAAP financial measures is not intended to be considered in isolation or as a substitute for, or superior to, financial measures determined in accordance with GAAP. Management encourages investors and others to review the Company's financial information in its entirety, including the financial statements and the related notes thereto, and not to rely on any single financial measure.</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net loss, the most closely comparable GAAP financial measure, to Adjusted EBITDA:</w:t>
      </w:r>
    </w:p>
    <w:tbl>
      <w:tblPr>
        <w:tblW w:w="8831" w:type="dxa"/>
        <w:jc w:val="left"/>
        <w:tblInd w:w="0" w:type="dxa"/>
        <w:tblLayout w:type="fixed"/>
        <w:tblCellMar>
          <w:top w:w="28" w:type="dxa"/>
          <w:left w:w="28" w:type="dxa"/>
          <w:bottom w:w="28" w:type="dxa"/>
          <w:right w:w="28" w:type="dxa"/>
        </w:tblCellMar>
      </w:tblPr>
      <w:tblGrid>
        <w:gridCol w:w="1309"/>
        <w:gridCol w:w="1151"/>
        <w:gridCol w:w="1155"/>
        <w:gridCol w:w="225"/>
        <w:gridCol w:w="739"/>
        <w:gridCol w:w="116"/>
        <w:gridCol w:w="116"/>
        <w:gridCol w:w="116"/>
        <w:gridCol w:w="116"/>
        <w:gridCol w:w="225"/>
        <w:gridCol w:w="851"/>
        <w:gridCol w:w="116"/>
        <w:gridCol w:w="109"/>
        <w:gridCol w:w="109"/>
        <w:gridCol w:w="109"/>
        <w:gridCol w:w="211"/>
        <w:gridCol w:w="616"/>
        <w:gridCol w:w="109"/>
        <w:gridCol w:w="109"/>
        <w:gridCol w:w="109"/>
        <w:gridCol w:w="109"/>
        <w:gridCol w:w="344"/>
        <w:gridCol w:w="346"/>
        <w:gridCol w:w="316"/>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and other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addbacks</w:t>
            </w:r>
            <w:r>
              <w:rPr>
                <w:rFonts w:ascii="Times New Roman;serif" w:hAnsi="Times New Roman;serif"/>
                <w:b w:val="false"/>
                <w:color w:val="000000"/>
                <w:sz w:val="13"/>
              </w:rPr>
              <w:t>(1)</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Post-combination compensation expense</w:t>
            </w:r>
            <w:r>
              <w:rPr>
                <w:rFonts w:ascii="Times New Roman;serif" w:hAnsi="Times New Roman;serif"/>
                <w:b w:val="false"/>
                <w:color w:val="000000"/>
                <w:sz w:val="13"/>
              </w:rPr>
              <w:t>(2)</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fees</w:t>
            </w:r>
            <w:r>
              <w:rPr>
                <w:rFonts w:ascii="Times New Roman;serif" w:hAnsi="Times New Roman;serif"/>
                <w:b w:val="false"/>
                <w:color w:val="000000"/>
                <w:sz w:val="13"/>
              </w:rPr>
              <w:t>(3)</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Infrastructure and workforce costs</w:t>
            </w:r>
            <w:r>
              <w:rPr>
                <w:rFonts w:ascii="Times New Roman;serif" w:hAnsi="Times New Roman;serif"/>
                <w:b w:val="false"/>
                <w:color w:val="000000"/>
                <w:sz w:val="13"/>
              </w:rPr>
              <w:t>(4)</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During the three months ended June 30, 2026, non-cash addbacks was primarily comprised of non-cash rent expense. During the three months ended June 30, 2025, non-cash addbacks was primarily comprised of the write-off of the net assets of the Clinical Trials segment of $2,398. </w:t>
      </w:r>
    </w:p>
    <w:p>
      <w:pPr>
        <w:pStyle w:val="TextBody"/>
        <w:bidi w:val="0"/>
        <w:spacing w:lineRule="auto" w:line="288" w:before="0" w:after="200"/>
        <w:ind w:left="0" w:right="0" w:hanging="270"/>
        <w:jc w:val="both"/>
        <w:rPr/>
      </w:pPr>
      <w:r>
        <w:rPr>
          <w:rFonts w:ascii="Times New Roman;serif" w:hAnsi="Times New Roman;serif"/>
          <w:b w:val="false"/>
          <w:color w:val="000000"/>
          <w:sz w:val="13"/>
        </w:rPr>
        <w:t>(2)    </w:t>
      </w:r>
      <w:r>
        <w:rPr>
          <w:rFonts w:ascii="Times New Roman;serif" w:hAnsi="Times New Roman;serif"/>
          <w:b w:val="false"/>
          <w:color w:val="000000"/>
          <w:sz w:val="20"/>
        </w:rPr>
        <w:t>Deferred consideration payments for practice acquisitions that are contingent upon the seller’s future employment at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hanging="270"/>
        <w:jc w:val="both"/>
        <w:rPr/>
      </w:pPr>
      <w:r>
        <w:rPr>
          <w:rFonts w:ascii="Times New Roman;serif" w:hAnsi="Times New Roman;serif"/>
          <w:b w:val="false"/>
          <w:color w:val="000000"/>
          <w:sz w:val="13"/>
        </w:rPr>
        <w:t>(3)    </w:t>
      </w:r>
      <w:r>
        <w:rPr>
          <w:rFonts w:ascii="Times New Roman;serif" w:hAnsi="Times New Roman;serif"/>
          <w:b w:val="false"/>
          <w:color w:val="000000"/>
          <w:sz w:val="20"/>
        </w:rPr>
        <w:t>Consulting fees were comprised of a subset of the Company’s total consulting fees primarily related to re-branding, and related to certain non-recurring advisory projects during the three months ended June 30, 2026 and 2025.</w:t>
      </w:r>
    </w:p>
    <w:p>
      <w:pPr>
        <w:pStyle w:val="TextBody"/>
        <w:bidi w:val="0"/>
        <w:spacing w:lineRule="auto" w:line="288" w:before="0" w:after="200"/>
        <w:ind w:left="0" w:right="0" w:hanging="270"/>
        <w:jc w:val="both"/>
        <w:rPr/>
      </w:pPr>
      <w:r>
        <w:rPr>
          <w:rFonts w:ascii="Times New Roman;serif" w:hAnsi="Times New Roman;serif"/>
          <w:b w:val="false"/>
          <w:color w:val="000000"/>
          <w:sz w:val="13"/>
        </w:rPr>
        <w:t>(4)    </w:t>
      </w:r>
      <w:r>
        <w:rPr>
          <w:rFonts w:ascii="Times New Roman;serif" w:hAnsi="Times New Roman;serif"/>
          <w:b w:val="false"/>
          <w:color w:val="000000"/>
          <w:sz w:val="20"/>
        </w:rPr>
        <w:t>Infrastructure and workforce costs were primarily comprised of recruiting expenses to build out corporate infrastructure of $305 and $150, severance expenses resulting from cost rationalization programs of $15 and $49, stop-loss contract timing of approximately $0 and $1,099, and reversal of settlements of $165 and $487 during the three months ended June 30, 2026 and 2025, respectively.</w:t>
      </w:r>
    </w:p>
    <w:p>
      <w:pPr>
        <w:pStyle w:val="TextBody"/>
        <w:bidi w:val="0"/>
        <w:spacing w:before="0" w:after="200"/>
        <w:jc w:val="both"/>
        <w:rPr/>
      </w:pPr>
      <w:r>
        <w:rPr/>
      </w:r>
    </w:p>
    <w:tbl>
      <w:tblPr>
        <w:tblW w:w="8935" w:type="dxa"/>
        <w:jc w:val="left"/>
        <w:tblInd w:w="0" w:type="dxa"/>
        <w:tblLayout w:type="fixed"/>
        <w:tblCellMar>
          <w:top w:w="28" w:type="dxa"/>
          <w:left w:w="28" w:type="dxa"/>
          <w:bottom w:w="28" w:type="dxa"/>
          <w:right w:w="28" w:type="dxa"/>
        </w:tblCellMar>
      </w:tblPr>
      <w:tblGrid>
        <w:gridCol w:w="1331"/>
        <w:gridCol w:w="1170"/>
        <w:gridCol w:w="1174"/>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344"/>
        <w:gridCol w:w="346"/>
        <w:gridCol w:w="316"/>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6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and other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addbacks(1)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Post-combination compensation expense(2)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fees(3)</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and workforce costs(4)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0"/>
        <w:jc w:val="both"/>
        <w:rPr/>
      </w:pPr>
      <w:r>
        <w:rPr/>
      </w:r>
    </w:p>
    <w:p>
      <w:pPr>
        <w:pStyle w:val="TextBody"/>
        <w:bidi w:val="0"/>
        <w:spacing w:lineRule="auto" w:line="288" w:before="0" w:after="20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During the six months ended June 30, 2026, non-cash addbacks was primarily comprised of non-cash rent expense. During the three months ended June 30, 2025, non-cash addbacks was primarily comprised of the write-off of the net assets of the Clinical Trials segment of $2,398. </w:t>
      </w:r>
    </w:p>
    <w:p>
      <w:pPr>
        <w:pStyle w:val="TextBody"/>
        <w:bidi w:val="0"/>
        <w:spacing w:lineRule="auto" w:line="288" w:before="0" w:after="200"/>
        <w:ind w:left="0" w:right="0" w:hanging="270"/>
        <w:jc w:val="both"/>
        <w:rPr/>
      </w:pPr>
      <w:r>
        <w:rPr>
          <w:rFonts w:ascii="Times New Roman;serif" w:hAnsi="Times New Roman;serif"/>
          <w:b w:val="false"/>
          <w:color w:val="000000"/>
          <w:sz w:val="13"/>
        </w:rPr>
        <w:t>(2)    </w:t>
      </w:r>
      <w:r>
        <w:rPr>
          <w:rFonts w:ascii="Times New Roman;serif" w:hAnsi="Times New Roman;serif"/>
          <w:b w:val="false"/>
          <w:color w:val="000000"/>
          <w:sz w:val="20"/>
        </w:rPr>
        <w:t>Deferred consideration payments for practice acquisitions that are contingent upon the seller’s future employment at the Company.</w:t>
      </w:r>
    </w:p>
    <w:p>
      <w:pPr>
        <w:pStyle w:val="TextBody"/>
        <w:bidi w:val="0"/>
        <w:spacing w:lineRule="auto" w:line="288" w:before="0" w:after="200"/>
        <w:ind w:left="0" w:right="0" w:hanging="270"/>
        <w:jc w:val="both"/>
        <w:rPr/>
      </w:pPr>
      <w:r>
        <w:rPr>
          <w:rFonts w:ascii="Times New Roman;serif" w:hAnsi="Times New Roman;serif"/>
          <w:b w:val="false"/>
          <w:color w:val="000000"/>
          <w:sz w:val="13"/>
        </w:rPr>
        <w:t>(3)    </w:t>
      </w:r>
      <w:r>
        <w:rPr>
          <w:rFonts w:ascii="Times New Roman;serif" w:hAnsi="Times New Roman;serif"/>
          <w:b w:val="false"/>
          <w:color w:val="000000"/>
          <w:sz w:val="20"/>
        </w:rPr>
        <w:t>Consulting fees were comprised of a subset of the Company’s total consulting fees primarily related to re-branding, and related to certain non-recurring advisory projects during the six months ended June 30, 2026 and 2025</w:t>
      </w:r>
    </w:p>
    <w:p>
      <w:pPr>
        <w:pStyle w:val="TextBody"/>
        <w:bidi w:val="0"/>
        <w:spacing w:lineRule="auto" w:line="288" w:before="0" w:after="200"/>
        <w:ind w:left="0" w:right="0" w:hanging="270"/>
        <w:jc w:val="both"/>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Infrastructure and workforce costs were primarily comprised of recruiting expenses to build out corporate infrastructure of $476 and $150, severance expenses resulting from cost rationalization programs of $257 and $49, stop-loss contract timing of approximately $1 and $1,099, and legal costs related to infrastructure build out and settlements of $172 and $487, partially offset by EOM/CMS performance period non-recurring addback of $818 during the six months ended June 30, 2026 and 2025, respectively.</w:t>
      </w:r>
    </w:p>
    <w:p>
      <w:pPr>
        <w:pStyle w:val="TextBody"/>
        <w:bidi w:val="0"/>
        <w:spacing w:before="0" w:after="20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200"/>
        <w:jc w:val="left"/>
        <w:rPr/>
      </w:pPr>
      <w:r>
        <w:rPr>
          <w:rFonts w:ascii="Times New Roman;serif" w:hAnsi="Times New Roman;serif"/>
          <w:b/>
          <w:i/>
          <w:color w:val="000000"/>
          <w:sz w:val="20"/>
        </w:rPr>
        <w:t>General</w:t>
      </w:r>
      <w:r>
        <w:rPr>
          <w:color w:val="000000"/>
        </w:rPr>
        <w:t xml:space="preserve"> </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w:t>
      </w:r>
      <w:r>
        <w:rPr>
          <w:rFonts w:ascii="Times New Roman;serif" w:hAnsi="Times New Roman;serif"/>
          <w:b w:val="false"/>
          <w:color w:val="231F20"/>
          <w:sz w:val="20"/>
        </w:rPr>
        <w:t xml:space="preserve">companying financial statements have been prepared on a going concern basis of accounting, which contemplates continuity of operations, realization of assets and liabilities and commitments in the normal course of business. In connection with the preparation of the condensed consolidated financial statements for the three months ended June 30, 2026, the Company conducted an evaluation as to whether there were conditions and events, considered in the aggregate, which raised substantial doubt as to its ability to continue as a going concern within one year after the date of the issuance of such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had cash and cash equivalents of $41,094 and an accumulated deficit of $283,700 at June 30, 2026, and a net loss of $12,281 and net cash provided by operations of $9,725 for the six months ended June 30, 2026.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concluded that it will have sufficient liquidity to fund its operations for at least one year from the date these consolidated financial statements are issued.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consolidated cash flows from operating, investing, and financing activities for the periods indicated.</w:t>
      </w:r>
    </w:p>
    <w:tbl>
      <w:tblPr>
        <w:tblW w:w="10205" w:type="dxa"/>
        <w:jc w:val="left"/>
        <w:tblInd w:w="0" w:type="dxa"/>
        <w:tblLayout w:type="fixed"/>
        <w:tblCellMar>
          <w:top w:w="28" w:type="dxa"/>
          <w:left w:w="28" w:type="dxa"/>
          <w:bottom w:w="28" w:type="dxa"/>
          <w:right w:w="28" w:type="dxa"/>
        </w:tblCellMar>
      </w:tblPr>
      <w:tblGrid>
        <w:gridCol w:w="1891"/>
        <w:gridCol w:w="1646"/>
        <w:gridCol w:w="1651"/>
        <w:gridCol w:w="211"/>
        <w:gridCol w:w="721"/>
        <w:gridCol w:w="109"/>
        <w:gridCol w:w="109"/>
        <w:gridCol w:w="109"/>
        <w:gridCol w:w="109"/>
        <w:gridCol w:w="211"/>
        <w:gridCol w:w="786"/>
        <w:gridCol w:w="109"/>
        <w:gridCol w:w="109"/>
        <w:gridCol w:w="109"/>
        <w:gridCol w:w="109"/>
        <w:gridCol w:w="211"/>
        <w:gridCol w:w="721"/>
        <w:gridCol w:w="109"/>
        <w:gridCol w:w="109"/>
        <w:gridCol w:w="109"/>
        <w:gridCol w:w="109"/>
        <w:gridCol w:w="264"/>
        <w:gridCol w:w="266"/>
        <w:gridCol w:w="318"/>
      </w:tblGrid>
      <w:tr>
        <w:trPr/>
        <w:tc>
          <w:tcPr>
            <w:tcW w:w="189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51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r>
      <w:tr>
        <w:trPr/>
        <w:tc>
          <w:tcPr>
            <w:tcW w:w="5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changes impacting net cash and cash equivalents provided by (used in) operating activities for the six months ended June 30, 2026 as compared to the six months ended June 30, 2025 were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Cash used by inventory decreased $2,611 due to a decrease in quarterly drug buy-ins at period end for participation in rebate programs with our primary supplier;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Cash provided by accounts payable and accrued expenses increased by $10,713 primarily due to cash management initiatives with our primary vendors.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$540 for the six months ended June 30, 2026 as compared to the six months ended June 30, 2025 primarily due to the increase in purchases of property and equipment of $414 as compared to same period in the prior year.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$2,531 for the six months ended June 30, 2026 as compared to the six months ended June 30, 2025, primarily due to principal payments on the convertible note of $20,000, offset by proceeds from the private placement offering of $15,359 and proceeds from option exercises of $2,340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material cash requirements for the following five years consist of debt servicing requirements, operating leases and other miscellaneous administrative expenses. Additionally, the Company is subject to certain outside claims and litigation arising out of the ordinary course of business, however, no such litigation requires future cash expenditure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0"/>
        <w:gridCol w:w="1092"/>
        <w:gridCol w:w="1095"/>
        <w:gridCol w:w="109"/>
        <w:gridCol w:w="109"/>
        <w:gridCol w:w="109"/>
        <w:gridCol w:w="211"/>
        <w:gridCol w:w="616"/>
        <w:gridCol w:w="109"/>
        <w:gridCol w:w="109"/>
        <w:gridCol w:w="109"/>
        <w:gridCol w:w="109"/>
        <w:gridCol w:w="211"/>
        <w:gridCol w:w="721"/>
        <w:gridCol w:w="109"/>
        <w:gridCol w:w="109"/>
        <w:gridCol w:w="109"/>
        <w:gridCol w:w="109"/>
        <w:gridCol w:w="222"/>
        <w:gridCol w:w="651"/>
        <w:gridCol w:w="115"/>
        <w:gridCol w:w="109"/>
        <w:gridCol w:w="109"/>
        <w:gridCol w:w="109"/>
        <w:gridCol w:w="230"/>
        <w:gridCol w:w="671"/>
        <w:gridCol w:w="120"/>
        <w:gridCol w:w="109"/>
        <w:gridCol w:w="109"/>
        <w:gridCol w:w="109"/>
        <w:gridCol w:w="211"/>
        <w:gridCol w:w="721"/>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1"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Material Cash Requirements Due by the Year Ended December 31,</w:t>
            </w:r>
          </w:p>
        </w:tc>
      </w:tr>
      <w:tr>
        <w:trPr/>
        <w:tc>
          <w:tcPr>
            <w:tcW w:w="34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and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material cash requirements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Other is comprised of finance leases and D&amp;O insurance premiums.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more fully described in the notes to our unaudited condensed consolidated financial statements elsewhere in this Quarterly Report on Form 10-Q. We believe that the following accounting policies reflects the most critical judgments and estimation uncertainty used in the preparation of our Condensed Consolidated Financial Results.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Variable Interest Entities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consolidates entities for which it has a variable interest and is determined to be the primary beneficiary. The Company holds variable interests in the Starling PCs, comprised of Starling CA, Starling FL, Starling OR and Starling TX due to jurisdictional laws governing the corporate practice of medicine or other restrictions. The Starling PCs employ physicians and other clinicians in order to provide professional services to patients of our managed clinics, and under substantially similar MSAs, we serve as the exclusive manager and administrator of the Starling PCs’ non-medical functions and services. The Starling PCs are considered variable interest entities (“VIEs”) as they do not have sufficient equity to finance their activities without additional financial support from the Company. An enterprise having a controlling financial interest in a VIE must consolidate the VIE if it has both power and benefits — that is, it has (1) the power to direct the activities of a VIE that most significantly impacts the VIE’s economic performance (power), and (2) the obligation to absorb the losses of the VIE that potentially could be significant to the VIE or the right to receive benefits from the VIE that potentially could be significant to the VIE (benefits). The Company has the power to control all financial activities of the Starling PCs, the rights to receive substantially all benefits from the VIEs, and consequently consolidates the Starling PCs. Revenues, expenses, and income along with the balance sheet accounts from the Starling PCs are included in the consolidated amounts as presented on the Condensed Consolidated Statements of Operations and Condensed Consolidated Balance Sheets.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Segment Reporting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presents the condensed consolidated financial statements by segment in accordance with the relevant accounting literature to provide investors with transparency into how the chief operating decision maker, or “CODM” manages the business. The Company's CODM is our Chief Executive Officer. The CODM reviews financial information and allocates resources across three operating segments: </w:t>
      </w:r>
      <w:r>
        <w:rPr>
          <w:rFonts w:ascii="Times New Roman;serif" w:hAnsi="Times New Roman;serif"/>
          <w:b w:val="false"/>
          <w:color w:val="231F20"/>
          <w:sz w:val="20"/>
        </w:rPr>
        <w:t xml:space="preserve">specialty pharmacy, </w:t>
      </w:r>
      <w:r>
        <w:rPr>
          <w:rFonts w:ascii="Times New Roman;serif" w:hAnsi="Times New Roman;serif"/>
          <w:b w:val="false"/>
          <w:color w:val="000000"/>
          <w:sz w:val="20"/>
        </w:rPr>
        <w:t>patient care, and clinical trials and other.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consolidated revenue based upon the principle of the transfer of control of our goods and services to customers in an amount that reflects the consideration to which it expects to be entitled. This principle is achieved through applying the following five-step approach:</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1.Identification of the contract, or contracts, with a customer.</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2.Identification of the performance obligations in the contract.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3.Determination of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4.Allocation of the transaction price to the performance obligations in the contract.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5.Recognition of revenue when, or as, the entity satisfies a performance obligation.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Consolidated revenue primarily consists of capitation revenue, fee-for-service (FFS) revenue, </w:t>
      </w:r>
      <w:r>
        <w:rPr>
          <w:rFonts w:ascii="Times New Roman;serif" w:hAnsi="Times New Roman;serif"/>
          <w:b w:val="false"/>
          <w:color w:val="231F20"/>
          <w:sz w:val="20"/>
        </w:rPr>
        <w:t>specialty pharmacy</w:t>
      </w:r>
      <w:r>
        <w:rPr>
          <w:color w:val="000000"/>
        </w:rPr>
        <w:t xml:space="preserve"> </w:t>
      </w:r>
      <w:r>
        <w:rPr>
          <w:rFonts w:ascii="Times New Roman;serif" w:hAnsi="Times New Roman;serif"/>
          <w:b w:val="false"/>
          <w:color w:val="000000"/>
          <w:sz w:val="20"/>
        </w:rPr>
        <w:t>revenue, and clinical trials revenue. Revenue is recognized in the period in which services are rendered or the period in which the Starling PCs are obligated to provide services. The form of billing and related risk of collection for such services may vary by type of revenue and the payor. The following paragraphs provide a summary of the principal forms of billing arrangements and how revenue is recognized for each.</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Capitation</w:t>
      </w:r>
      <w:r>
        <w:rPr>
          <w:color w:val="000000"/>
        </w:rPr>
        <w:t xml:space="preserv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Capitation contracts have a single performance obligation that is a stand ready obligation to perform specified healthcare services to the population of enrolled members and constitutes a series for the provision of managed healthcare services for the term of the contract, which is deemed to be one month since the mix of patient-customers can and do change month over month. The transaction price for capitation contracts is variable as it primarily includes PMPM fees associated with unspecified membership that fluctuates throughout the term of the contract. Further, we adjust the transaction price for capitation deductions based on historical experience.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Fee For Service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FFS revenue consists of fees for medical services actually provided to patients. These medical services are distinct since the patient can benefit from the medical services on their own. Each service constitutes a single performance obligation for which the patient accepts and receives the benefit of the medical services as they are performed.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price from FFS arrangements is variable in nature because fees are based on patient encounters, credits due to patients, and reimbursement of provider costs, all of which can vary from period to period. The Company estimates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adopted a portfolio approach to determine the transaction price for the medical services provided under FFS arrangements. Under this approach, the Company bifurcated the types of services provided and grouped health plans with similar fees and negotiated payment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these levels, portfolios share the characteristics conducive to ensuring that the results do not materially differ from the standard applied to individual patient contracts related to each medical service provided.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on the date the services are rendered based on the information known at the time of entering of such information into our billing systems as well as an estimate of the revenue associated with medical services. When the performance obligation is not satisfied, the billing is recognized as a contract liability.</w:t>
      </w:r>
    </w:p>
    <w:p>
      <w:pPr>
        <w:pStyle w:val="TextBody"/>
        <w:bidi w:val="0"/>
        <w:spacing w:lineRule="auto" w:line="288" w:before="0" w:after="200"/>
        <w:ind w:left="0" w:right="0" w:firstLine="360"/>
        <w:jc w:val="both"/>
        <w:rPr/>
      </w:pPr>
      <w:r>
        <w:rPr>
          <w:rFonts w:ascii="Times New Roman;serif" w:hAnsi="Times New Roman;serif"/>
          <w:b w:val="false"/>
          <w:i/>
          <w:color w:val="231F20"/>
          <w:sz w:val="20"/>
        </w:rPr>
        <w:t>Specialty Pharmacy</w:t>
      </w:r>
      <w:r>
        <w:rPr>
          <w:color w:val="000000"/>
        </w:rPr>
        <w:t xml:space="preserve"> </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Dispensed prescriptions that are filled and delivered to the patient are considered a distinct performance obligation. The transaction price for the prescriptions is based on fee schedules set by PBMs and other third-party payors. The fee schedule is often subject to direct and indirect remuneration fees applied by PBMs ("DIR fees"), which are based primarily on pre-established metrics. DIR fees may be assessed in periods after payments are received against future payments. The Company estimates DIR fees to arrive at the transaction price for prescriptions. Revenue is recognized based on the transaction at the time the patient takes possession of the oral drug.</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Clinical Research &amp; Other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Clinical research contracts represent a single, integrated set of research activities and thus are a single performance obligation. The performance obligation is satisfied over time as the output is captured in data and documentation that is available for the customer to consume over the course of arrangement and furthers progress of the clinical trial. The Company has elected to recognize revenue for clinical trials using the ‘as-invoiced’ practical expedient. The customer is invoiced periodically based on the progress of the trial such that each invoice captures the revenue earned to date based on the state of the trial as established under contract with the customer. Effective May 2025, the Clinical Trials segment is operated by a third party in its entirety under a profit sharing arrangement with the Company.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future reversals of existing taxable temporary differences;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future taxable income or loss, exclusive of reversing temporary differences and carryforwards;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tax-planning strategies;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taxable income in prior carryback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continue to reevaluate the continued need for a valuation allowance. Relevant factors include:</w:t>
      </w:r>
    </w:p>
    <w:p>
      <w:pPr>
        <w:pStyle w:val="TextBody"/>
        <w:bidi w:val="0"/>
        <w:spacing w:before="0" w:after="0"/>
        <w:jc w:val="both"/>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current financial performance;</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our ability to meet short-term and long-term financial and taxable income projections;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overall market environment;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volatility and trends in the industry in which we operate.</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Goodwill and Intangible Assets </w:t>
      </w:r>
    </w:p>
    <w:p>
      <w:pPr>
        <w:pStyle w:val="TextBody"/>
        <w:bidi w:val="0"/>
        <w:spacing w:lineRule="auto" w:line="288" w:before="0" w:after="180"/>
        <w:ind w:left="0" w:right="0" w:firstLine="360"/>
        <w:jc w:val="both"/>
        <w:rPr/>
      </w:pPr>
      <w:r>
        <w:rPr>
          <w:rFonts w:ascii="Times New Roman;serif" w:hAnsi="Times New Roman;serif"/>
          <w:b w:val="false"/>
          <w:color w:val="231F20"/>
          <w:sz w:val="20"/>
        </w:rPr>
        <w:t xml:space="preserve">The Company accounts for goodwill and intangible assets under Accounting Standards Codification Topic No. 350, </w:t>
      </w:r>
      <w:r>
        <w:rPr>
          <w:rFonts w:ascii="Times New Roman;serif" w:hAnsi="Times New Roman;serif"/>
          <w:b w:val="false"/>
          <w:i/>
          <w:color w:val="231F20"/>
          <w:sz w:val="20"/>
        </w:rPr>
        <w:t xml:space="preserve">Goodwill and Other </w:t>
      </w:r>
      <w:r>
        <w:rPr>
          <w:rFonts w:ascii="Times New Roman;serif" w:hAnsi="Times New Roman;serif"/>
          <w:b w:val="false"/>
          <w:color w:val="231F20"/>
          <w:sz w:val="20"/>
        </w:rPr>
        <w:t xml:space="preserve">(“ASC 350”). </w:t>
      </w:r>
      <w:r>
        <w:rPr>
          <w:rFonts w:ascii="Times New Roman;serif" w:hAnsi="Times New Roman;serif"/>
          <w:b w:val="false"/>
          <w:color w:val="000000"/>
          <w:sz w:val="20"/>
        </w:rPr>
        <w:t>Goodwill represents the excess of the fair value of the consideration conveyed in acquisition over the fair value of net assets acquired.</w:t>
      </w:r>
      <w:r>
        <w:rPr>
          <w:color w:val="231F20"/>
        </w:rPr>
        <w:t xml:space="preserv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not amortized but is required to be evaluated for impairment at the same time every year. The Company performs annual testing of impairment for goodwill in the fourth quarter of each year or earlier if potential impairment indicators exist.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ASC 350, finite-lived intangible assets are stated at acquisition-date fair value. Intangible assets are amortized using the straight-line method.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are stated at acquisition-date fair value. Intangible assets are amortized using the straight-line method. Finite-lived intangible assets are reviewed for impairment whenever events or changes in circumstances indicate that the carrying amount of an asset may not be recoverable. When circumstances indicate that recoverability may be impaired, the Company assesses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held cash and cash equivalents of $41,094 as of June 30, 2026, consisting of bank deposits and money market funds.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inflation has increased throughout the U.S. economy. Inflation can adversely affect us by increasing the costs of drugs, clinical trials and research, administration and other costs of doing business. We may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Impairment Risk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risk refers to the risk that the Company will write down a material amount of its goodwill or intangible assets. This risk is assessed at least annually in the fourth quarter each year when the Company performs its impairment testing. To the extent that, among other factors, (i) there is underperformance in one or more reporting units (ii) a potential recession further disrupts the economic environment or (iii) interest rates continue to rise in response to persistent inflation, the fair value of one or more of the reporting units could fall below their carrying value, resulting in a goodwill or intangible impairment charge.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0" w:after="200"/>
        <w:jc w:val="left"/>
        <w:rPr>
          <w:rFonts w:ascii="Times New Roman;serif" w:hAnsi="Times New Roman;serif"/>
          <w:b/>
          <w:color w:val="231F20"/>
          <w:sz w:val="20"/>
        </w:rPr>
      </w:pPr>
      <w:r>
        <w:rPr>
          <w:rFonts w:ascii="Times New Roman;serif" w:hAnsi="Times New Roman;serif"/>
          <w:b/>
          <w:color w:val="231F20"/>
          <w:sz w:val="20"/>
        </w:rPr>
        <w:t>Evaluation of Disclosure Controls and Procedures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Our disclosure controls and procedures are designed to ensure that the information relating to our Company, including our consolidated subsidiaries, that are required to be disclosed in our SEC reports, is recorded, processed, summarized, and reported within the time periods specified in SEC rules and forms, and is accumulated and communicated to our management, including our Chief Executive Officer and Chief Financial Officer, as appropriate to allow for timely decisions regarding required disclosure. We conducted an evaluation, under the supervision and with the participation of management, including our Chief Executive Officer and Chief Financial Officer, of the effectiveness of the design and operation of our disclosure controls and procedures (as defined in Rules 13a-15(e) and 15d-15(e) under </w:t>
      </w:r>
      <w:r>
        <w:rPr>
          <w:rFonts w:ascii="Times New Roman;serif" w:hAnsi="Times New Roman;serif"/>
          <w:b w:val="false"/>
          <w:color w:val="000000"/>
          <w:sz w:val="20"/>
        </w:rPr>
        <w:t>the</w:t>
      </w:r>
      <w:r>
        <w:rPr>
          <w:color w:val="231F20"/>
        </w:rPr>
        <w:t xml:space="preserve"> </w:t>
      </w:r>
      <w:r>
        <w:rPr>
          <w:rFonts w:ascii="Times New Roman;serif" w:hAnsi="Times New Roman;serif"/>
          <w:b w:val="false"/>
          <w:color w:val="231F20"/>
          <w:sz w:val="20"/>
        </w:rPr>
        <w:t xml:space="preserve">Securities Exchange Act of 1934, as amended)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Based on this evaluation, our Chief Executive Officer and Chief Financial Officer concluded that, as of </w:t>
      </w:r>
      <w:r>
        <w:rPr>
          <w:rFonts w:ascii="Times New Roman;serif" w:hAnsi="Times New Roman;serif"/>
          <w:b w:val="false"/>
          <w:color w:val="000000"/>
          <w:sz w:val="20"/>
        </w:rPr>
        <w:t>June 30, 2026</w:t>
      </w:r>
      <w:r>
        <w:rPr>
          <w:rFonts w:ascii="Times New Roman;serif" w:hAnsi="Times New Roman;serif"/>
          <w:b w:val="false"/>
          <w:color w:val="231F20"/>
          <w:sz w:val="20"/>
        </w:rPr>
        <w:t>, our disclosure controls and procedures were effective in our internal control over financial reporting. Management, including our Chief Executive Officer and Chief Financial Officer, who serve as our principal executive officer and principal financial officer, respectively, believe the condensed consolidated financial statements included in this Quarterly Report on Form 10-Q fairly represent, in all material respects, our financial condition, results of operations and cash flows as of and for the periods presented in accordance with GAAP.</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the Company’s internal control over financial reporting that occurred during the three months ended June 30, 2026 that have materially affected, or are reasonably likely to materially affect, the Company’s internal control over financial reporting.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Limitations on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including the Chief Executive Officer and Chief Financial Officer,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20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we believe that, if determined adversely to us, either individually or taken together, are reasonably likely to have a material adverse effect on our business, operating results, cash flows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0" w:after="200"/>
        <w:ind w:left="0" w:right="0" w:firstLine="399"/>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described in Item 1A of our Annual Report on Form 10-K for the fiscal year ended December 31, 2025. These risk factors describe some of the assumptions, risks, uncertainties and other factors that could adversely affect our business or that could otherwise result in changes that differ materially from our expectations.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0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88" w:before="0" w:after="200"/>
        <w:ind w:left="0" w:right="0" w:firstLine="399"/>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 </w:t>
      </w:r>
    </w:p>
    <w:p>
      <w:pPr>
        <w:pStyle w:val="TextBody"/>
        <w:bidi w:val="0"/>
        <w:spacing w:lineRule="auto" w:line="268" w:before="0" w:after="0"/>
        <w:ind w:left="0" w:right="0" w:firstLine="399"/>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 trading arrangement or a non-Rule 10b-5 trading arrangement as such terms are defined under Item 408(a) of Regulation S-K, during the three months ended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109"/>
        <w:gridCol w:w="109"/>
        <w:gridCol w:w="816"/>
        <w:gridCol w:w="662"/>
        <w:gridCol w:w="668"/>
        <w:gridCol w:w="109"/>
        <w:gridCol w:w="109"/>
        <w:gridCol w:w="109"/>
        <w:gridCol w:w="195"/>
        <w:gridCol w:w="195"/>
        <w:gridCol w:w="196"/>
        <w:gridCol w:w="109"/>
        <w:gridCol w:w="109"/>
        <w:gridCol w:w="109"/>
        <w:gridCol w:w="273"/>
        <w:gridCol w:w="273"/>
        <w:gridCol w:w="274"/>
        <w:gridCol w:w="109"/>
        <w:gridCol w:w="109"/>
        <w:gridCol w:w="109"/>
        <w:gridCol w:w="109"/>
        <w:gridCol w:w="245"/>
        <w:gridCol w:w="245"/>
        <w:gridCol w:w="246"/>
        <w:gridCol w:w="109"/>
        <w:gridCol w:w="109"/>
        <w:gridCol w:w="109"/>
        <w:gridCol w:w="109"/>
        <w:gridCol w:w="363"/>
        <w:gridCol w:w="363"/>
        <w:gridCol w:w="269"/>
        <w:gridCol w:w="109"/>
        <w:gridCol w:w="1062"/>
        <w:gridCol w:w="109"/>
        <w:gridCol w:w="109"/>
        <w:gridCol w:w="109"/>
        <w:gridCol w:w="109"/>
        <w:gridCol w:w="109"/>
        <w:gridCol w:w="109"/>
        <w:gridCol w:w="17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9"/>
            <w:tcBorders/>
            <w:tcMar>
              <w:top w:w="0" w:type="dxa"/>
              <w:left w:w="0" w:type="dxa"/>
              <w:bottom w:w="0" w:type="dxa"/>
              <w:right w:w="0" w:type="dxa"/>
            </w:tcMar>
            <w:vAlign w:val="center"/>
          </w:tcPr>
          <w:p>
            <w:pPr>
              <w:pStyle w:val="TableContents"/>
              <w:bidi w:val="0"/>
              <w:spacing w:lineRule="auto" w:line="16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tcMar>
              <w:top w:w="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Filed or Furnished Herewith</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 w:type="dxa"/>
            <w:gridSpan w:val="4"/>
            <w:tcBorders/>
          </w:tcPr>
          <w:p>
            <w:pPr>
              <w:pStyle w:val="TableContents"/>
              <w:bidi w:val="0"/>
              <w:spacing w:before="0" w:after="283"/>
              <w:jc w:val="left"/>
              <w:rPr>
                <w:sz w:val="4"/>
                <w:szCs w:val="4"/>
              </w:rPr>
            </w:pPr>
            <w:r>
              <w:rPr>
                <w:sz w:val="4"/>
                <w:szCs w:val="4"/>
              </w:rPr>
            </w:r>
          </w:p>
        </w:tc>
      </w:tr>
      <w:tr>
        <w:trPr/>
        <w:tc>
          <w:tcPr>
            <w:tcW w:w="85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FFFFFF"/>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18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18, 2021</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18, 2021</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22, 2021</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Correction to Certificate of Designation of Preferences, Rights and Limitations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to Certificate of Designation of Preferences, Rights and Limitations of Series A Common Stock Equivalent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Warrant Agreement, dated March 10, 2020, by and between DFP and Continental Stock Transfer &amp; Trust Company, as warrant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2020</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Specimen Preferred Stock Certificate of The Oncology Institute,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22, 2021</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Secured Convertible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2022</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2022</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Form of Common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Form of Deerfield Common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2025</w:t>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certificationrule13a.htm">
              <w:r>
                <w:rPr>
                  <w:rStyle w:val="InternetLink"/>
                  <w:rFonts w:ascii="Times New Roman;serif" w:hAnsi="Times New Roman;serif"/>
                  <w:b w:val="false"/>
                  <w:color w:val="0000FF"/>
                  <w:sz w:val="20"/>
                  <w:u w:val="single"/>
                </w:rPr>
                <w:t>Certification Pursuant to Rule 13a-14(a) under the Securities Exchange Act of 1934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certificationrule13a.htm">
              <w:r>
                <w:rPr>
                  <w:rStyle w:val="InternetLink"/>
                  <w:rFonts w:ascii="Times New Roman;serif" w:hAnsi="Times New Roman;serif"/>
                  <w:b w:val="false"/>
                  <w:color w:val="0000FF"/>
                  <w:sz w:val="20"/>
                  <w:u w:val="single"/>
                </w:rPr>
                <w:t>Certification Pursuant to Rule 13a-14(a) under Securities Exchange Act of 1934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ceocertificationsect.htm">
              <w:r>
                <w:rPr>
                  <w:rStyle w:val="InternetLink"/>
                  <w:rFonts w:ascii="Times New Roman;serif" w:hAnsi="Times New Roman;serif"/>
                  <w:b w:val="false"/>
                  <w:color w:val="0000FF"/>
                  <w:sz w:val="20"/>
                  <w:u w:val="single"/>
                </w:rPr>
                <w:t>Certification Pursuant to 18 U.S.C. Section 1350, As Adopted Pursuant to Section 906 of the Sarbanes-Oxley Act of 2002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2-cfocertificationsect.htm">
              <w:r>
                <w:rPr>
                  <w:rStyle w:val="InternetLink"/>
                  <w:rFonts w:ascii="Times New Roman;serif" w:hAnsi="Times New Roman;serif"/>
                  <w:b w:val="false"/>
                  <w:color w:val="0000FF"/>
                  <w:sz w:val="20"/>
                  <w:u w:val="single"/>
                </w:rPr>
                <w:t>Certification Pursuant to 18 U.S.C. Section 1350, As Adopted Pursuant to Section 906 of the Sarbanes-Oxley Act of 2002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Definition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Label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Registration Statement to be signed on its behalf by the undersigned hereunto duly authorized, on August 6, 2026. </w:t>
      </w:r>
    </w:p>
    <w:p>
      <w:pPr>
        <w:pStyle w:val="TextBody"/>
        <w:bidi w:val="0"/>
        <w:spacing w:before="0" w:after="0"/>
        <w:jc w:val="left"/>
        <w:rPr/>
      </w:pPr>
      <w:r>
        <w:rPr/>
      </w:r>
    </w:p>
    <w:tbl>
      <w:tblPr>
        <w:tblW w:w="6178" w:type="dxa"/>
        <w:jc w:val="left"/>
        <w:tblInd w:w="0" w:type="dxa"/>
        <w:tblLayout w:type="fixed"/>
        <w:tblCellMar>
          <w:top w:w="28" w:type="dxa"/>
          <w:left w:w="28" w:type="dxa"/>
          <w:bottom w:w="28" w:type="dxa"/>
          <w:right w:w="28" w:type="dxa"/>
        </w:tblCellMar>
      </w:tblPr>
      <w:tblGrid>
        <w:gridCol w:w="473"/>
        <w:gridCol w:w="415"/>
        <w:gridCol w:w="415"/>
        <w:gridCol w:w="1418"/>
        <w:gridCol w:w="1418"/>
        <w:gridCol w:w="2039"/>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6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STARLING ONCOLOGY, INC. </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Carter</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13a-14(a)/15d-14(a) CERTIFICATION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Daniel Virnich, certify that:</w:t>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June 30, 2026 of Starling Oncology, Inc.;</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1948" w:type="dxa"/>
        <w:jc w:val="left"/>
        <w:tblInd w:w="0" w:type="dxa"/>
        <w:tblLayout w:type="fixed"/>
        <w:tblCellMar>
          <w:top w:w="28" w:type="dxa"/>
          <w:left w:w="28" w:type="dxa"/>
          <w:bottom w:w="28" w:type="dxa"/>
          <w:right w:w="28" w:type="dxa"/>
        </w:tblCellMar>
      </w:tblPr>
      <w:tblGrid>
        <w:gridCol w:w="200"/>
        <w:gridCol w:w="177"/>
        <w:gridCol w:w="178"/>
        <w:gridCol w:w="148"/>
        <w:gridCol w:w="148"/>
        <w:gridCol w:w="148"/>
        <w:gridCol w:w="148"/>
        <w:gridCol w:w="148"/>
        <w:gridCol w:w="148"/>
        <w:gridCol w:w="148"/>
        <w:gridCol w:w="148"/>
        <w:gridCol w:w="2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August 6,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92" w:type="dxa"/>
        <w:jc w:val="left"/>
        <w:tblInd w:w="0" w:type="dxa"/>
        <w:tblLayout w:type="fixed"/>
        <w:tblCellMar>
          <w:top w:w="28" w:type="dxa"/>
          <w:left w:w="28" w:type="dxa"/>
          <w:bottom w:w="28" w:type="dxa"/>
          <w:right w:w="28" w:type="dxa"/>
        </w:tblCellMar>
      </w:tblPr>
      <w:tblGrid>
        <w:gridCol w:w="252"/>
        <w:gridCol w:w="221"/>
        <w:gridCol w:w="221"/>
        <w:gridCol w:w="221"/>
        <w:gridCol w:w="221"/>
        <w:gridCol w:w="221"/>
        <w:gridCol w:w="221"/>
        <w:gridCol w:w="221"/>
        <w:gridCol w:w="221"/>
        <w:gridCol w:w="109"/>
        <w:gridCol w:w="109"/>
        <w:gridCol w:w="154"/>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Daniel Virnich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Daniel Virnich</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13a-14(a)/15d-14(a) CERTIFICATION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Robert Carter, certify that: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June 30, 2026 of Starling Oncology, Inc.;</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1949" w:type="dxa"/>
        <w:jc w:val="left"/>
        <w:tblInd w:w="0" w:type="dxa"/>
        <w:tblLayout w:type="fixed"/>
        <w:tblCellMar>
          <w:top w:w="28" w:type="dxa"/>
          <w:left w:w="28" w:type="dxa"/>
          <w:bottom w:w="28" w:type="dxa"/>
          <w:right w:w="28" w:type="dxa"/>
        </w:tblCellMar>
      </w:tblPr>
      <w:tblGrid>
        <w:gridCol w:w="200"/>
        <w:gridCol w:w="177"/>
        <w:gridCol w:w="178"/>
        <w:gridCol w:w="216"/>
        <w:gridCol w:w="216"/>
        <w:gridCol w:w="216"/>
        <w:gridCol w:w="216"/>
        <w:gridCol w:w="216"/>
        <w:gridCol w:w="3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August 6,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81" w:type="dxa"/>
        <w:jc w:val="left"/>
        <w:tblInd w:w="0" w:type="dxa"/>
        <w:tblLayout w:type="fixed"/>
        <w:tblCellMar>
          <w:top w:w="28" w:type="dxa"/>
          <w:left w:w="28" w:type="dxa"/>
          <w:bottom w:w="28" w:type="dxa"/>
          <w:right w:w="28" w:type="dxa"/>
        </w:tblCellMar>
      </w:tblPr>
      <w:tblGrid>
        <w:gridCol w:w="247"/>
        <w:gridCol w:w="218"/>
        <w:gridCol w:w="218"/>
        <w:gridCol w:w="218"/>
        <w:gridCol w:w="218"/>
        <w:gridCol w:w="218"/>
        <w:gridCol w:w="218"/>
        <w:gridCol w:w="218"/>
        <w:gridCol w:w="308"/>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0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Carter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Starling Oncology, Inc. (the “Company”) on Form 10-Q for the period ended June 30, 2026, as filed with the Securities and Exchange Commission on the date hereof (the “Report”), I, Daniel Virnich, Chief Executive Officer of the Company, certify, pursuant to 18 U.S.C. Section 1350, as adopted pursuant to Section 906 of the Sarbanes-Oxley Act of 2002, that, to my knowledge: </w:t>
      </w:r>
    </w:p>
    <w:p>
      <w:pPr>
        <w:pStyle w:val="TextBody"/>
        <w:bidi w:val="0"/>
        <w:spacing w:before="0" w:after="0"/>
        <w:ind w:left="0" w:right="0" w:firstLine="495"/>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20"/>
        </w:rPr>
        <w:t>1.    The Report fully complies with the requirements of Section 13(a) or 15(d) of the Securities Exchange Act of</w:t>
      </w:r>
      <w:r>
        <w:rPr>
          <w:color w:val="000000"/>
        </w:rPr>
        <w:t xml:space="preserve"> </w:t>
      </w:r>
      <w:r>
        <w:rPr>
          <w:rFonts w:ascii="Times New Roman;serif" w:hAnsi="Times New Roman;serif"/>
          <w:b w:val="false"/>
          <w:color w:val="000000"/>
          <w:sz w:val="20"/>
        </w:rPr>
        <w:t>1934; and</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and delivered this certificate as of the date set forth opposite his signature below.</w:t>
      </w:r>
    </w:p>
    <w:tbl>
      <w:tblPr>
        <w:tblW w:w="3956" w:type="dxa"/>
        <w:jc w:val="left"/>
        <w:tblInd w:w="0" w:type="dxa"/>
        <w:tblLayout w:type="fixed"/>
        <w:tblCellMar>
          <w:top w:w="28" w:type="dxa"/>
          <w:left w:w="28" w:type="dxa"/>
          <w:bottom w:w="28" w:type="dxa"/>
          <w:right w:w="28" w:type="dxa"/>
        </w:tblCellMar>
      </w:tblPr>
      <w:tblGrid>
        <w:gridCol w:w="200"/>
        <w:gridCol w:w="177"/>
        <w:gridCol w:w="178"/>
        <w:gridCol w:w="224"/>
        <w:gridCol w:w="224"/>
        <w:gridCol w:w="224"/>
        <w:gridCol w:w="224"/>
        <w:gridCol w:w="224"/>
        <w:gridCol w:w="230"/>
        <w:gridCol w:w="218"/>
        <w:gridCol w:w="218"/>
        <w:gridCol w:w="218"/>
        <w:gridCol w:w="218"/>
        <w:gridCol w:w="218"/>
        <w:gridCol w:w="218"/>
        <w:gridCol w:w="218"/>
        <w:gridCol w:w="218"/>
        <w:gridCol w:w="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5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August 6, 2026</w:t>
            </w:r>
          </w:p>
        </w:tc>
        <w:tc>
          <w:tcPr>
            <w:tcW w:w="20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Daniel Virnich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Daniel Virnich</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 </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Starling Oncology, Inc. (the “Company”) on Form 10-Q for the period ended June 30, 2026, as filed with the Securities and Exchange Commission on the date hereof (the “Report”), I, Robert Carter, Chief Financial Officer of the Company, certify, pursuant to 18 U.S.C. Section 1350, as adopted pursuant to Section 906 of the Sarbanes-Oxley Act of 2002, that, to my knowledge: </w:t>
      </w:r>
    </w:p>
    <w:p>
      <w:pPr>
        <w:pStyle w:val="TextBody"/>
        <w:bidi w:val="0"/>
        <w:spacing w:before="0" w:after="0"/>
        <w:ind w:left="0" w:right="0" w:firstLine="495"/>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and delivered this certificate as of the date set forth opposite his signature below.</w:t>
      </w:r>
    </w:p>
    <w:tbl>
      <w:tblPr>
        <w:tblW w:w="3969" w:type="dxa"/>
        <w:jc w:val="left"/>
        <w:tblInd w:w="0" w:type="dxa"/>
        <w:tblLayout w:type="fixed"/>
        <w:tblCellMar>
          <w:top w:w="28" w:type="dxa"/>
          <w:left w:w="28" w:type="dxa"/>
          <w:bottom w:w="28" w:type="dxa"/>
          <w:right w:w="28" w:type="dxa"/>
        </w:tblCellMar>
      </w:tblPr>
      <w:tblGrid>
        <w:gridCol w:w="200"/>
        <w:gridCol w:w="177"/>
        <w:gridCol w:w="178"/>
        <w:gridCol w:w="150"/>
        <w:gridCol w:w="150"/>
        <w:gridCol w:w="150"/>
        <w:gridCol w:w="150"/>
        <w:gridCol w:w="150"/>
        <w:gridCol w:w="150"/>
        <w:gridCol w:w="150"/>
        <w:gridCol w:w="150"/>
        <w:gridCol w:w="150"/>
        <w:gridCol w:w="219"/>
        <w:gridCol w:w="219"/>
        <w:gridCol w:w="219"/>
        <w:gridCol w:w="219"/>
        <w:gridCol w:w="219"/>
        <w:gridCol w:w="219"/>
        <w:gridCol w:w="219"/>
        <w:gridCol w:w="219"/>
        <w:gridCol w:w="31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5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August 6, 2026</w:t>
            </w:r>
          </w:p>
        </w:tc>
        <w:tc>
          <w:tcPr>
            <w:tcW w:w="20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Robert Carter</w:t>
            </w:r>
          </w:p>
        </w:tc>
      </w:tr>
      <w:tr>
        <w:trPr/>
        <w:tc>
          <w:tcPr>
            <w:tcW w:w="14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Carter</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191/000110465921141302/tm2133107d1_ex3-1.htm" TargetMode="External"/><Relationship Id="rId3" Type="http://schemas.openxmlformats.org/officeDocument/2006/relationships/hyperlink" Target="https://www.sec.gov/Archives/edgar/data/1799191/000110465921141302/tm2133107d1_ex3-2.htm" TargetMode="External"/><Relationship Id="rId4" Type="http://schemas.openxmlformats.org/officeDocument/2006/relationships/hyperlink" Target="https://www.sec.gov/Archives/edgar/data/1799191/000110465921142621/tm2133107d2_ex3-3.htm" TargetMode="External"/><Relationship Id="rId5" Type="http://schemas.openxmlformats.org/officeDocument/2006/relationships/hyperlink" Target="https://www.sec.gov/Archives/edgar/data/1799191/000107997325000460/ex3x1.htm" TargetMode="External"/><Relationship Id="rId6" Type="http://schemas.openxmlformats.org/officeDocument/2006/relationships/hyperlink" Target="https://www.sec.gov/Archives/edgar/data/1799191/000107997325000460/ex3x2.htm" TargetMode="External"/><Relationship Id="rId7" Type="http://schemas.openxmlformats.org/officeDocument/2006/relationships/hyperlink" Target="https://www.sec.gov/Archives/edgar/data/1799191/000110465920032909/tm201723d6_ex4-1.htm" TargetMode="External"/><Relationship Id="rId8" Type="http://schemas.openxmlformats.org/officeDocument/2006/relationships/hyperlink" Target="https://www.sec.gov/Archives/edgar/data/1799191/000110465921142621/tm2133107d2_ex4-2.htm" TargetMode="External"/><Relationship Id="rId9" Type="http://schemas.openxmlformats.org/officeDocument/2006/relationships/hyperlink" Target="https://www.sec.gov/Archives/edgar/data/1799191/000162828022022087/a41-formofseniorconvertibl.htm" TargetMode="External"/><Relationship Id="rId10" Type="http://schemas.openxmlformats.org/officeDocument/2006/relationships/hyperlink" Target="https://www.sec.gov/Archives/edgar/data/1799191/000162828022022087/a42formofwarrant.htm" TargetMode="External"/><Relationship Id="rId11" Type="http://schemas.openxmlformats.org/officeDocument/2006/relationships/hyperlink" Target="https://www.sec.gov/Archives/edgar/data/1799191/000107997325000460/ex4x1.htm" TargetMode="External"/><Relationship Id="rId12" Type="http://schemas.openxmlformats.org/officeDocument/2006/relationships/hyperlink" Target="https://www.sec.gov/Archives/edgar/data/1799191/000107997325000460/ex4x2.htm" TargetMode="External"/><Relationship Id="rId13" Type="http://schemas.openxmlformats.org/officeDocument/2006/relationships/hyperlink" Target="https://www.sec.gov/Archives/edgar/data/1799191/000107997325000460/ex4x3.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26336</Words>
  <Characters>145140</Characters>
  <CharactersWithSpaces>169847</CharactersWithSpaces>
  <Paragraphs>3410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