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Johnson Karen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ONCOLOGY INSTITUTE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18000 STUDEBAKER RD,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CERRITOS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Oncology Institute, Inc.</w:t>
              </w:r>
            </w:hyperlink>
            <w:r>
              <w:rPr/>
              <w:t xml:space="preserve"> [ </w:t>
            </w:r>
            <w:r>
              <w:rPr>
                <w:rFonts w:ascii="Times;serif" w:hAnsi="Times;serif"/>
                <w:color w:val="0000FF"/>
                <w:sz w:val="24"/>
                <w:shd w:fill="FFFFFF" w:val="clear"/>
              </w:rPr>
              <w:t>TOI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31,124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319,410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stock units (RSUs), each of which entitle the Reporting Person to receive one share of the Issuer's common stock upon settlement. The RSUs vest in full on the date of the Issuer's 2027 annual meeting of stockholders, subject to the Reporting Person's continued service with the Issuer on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Hueppelsheuser, Attorney-in-Fact for Karen Marie Johnson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2819" TargetMode="External"/><Relationship Id="rId5" Type="http://schemas.openxmlformats.org/officeDocument/2006/relationships/hyperlink" Target="http://www.sec.gov/cgi-bin/browse-edgar?action=getcompany&amp;CIK=00017991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3404</Characters>
  <CharactersWithSpaces>3963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