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Podnos Yale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ONCOLOGY INSTITUTE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18000 STUDEBAKER RD,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CERRITOS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Oncology Institute,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61"/>
        <w:gridCol w:w="299"/>
        <w:gridCol w:w="935"/>
        <w:gridCol w:w="450"/>
        <w:gridCol w:w="762"/>
        <w:gridCol w:w="1163"/>
        <w:gridCol w:w="1000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17,974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1.87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277,501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17,974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6.429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259,527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5,478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265,005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5,478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6.35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259,527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17,974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transactions were effected pursuant to a Rule 10(b) 5-1 trading plan adopted by the Reporting Person on 08/26/2025.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described above were originally granted on 11/17/2022 and 05/21/2024, respectively, and vested in accordance with their respective terms.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Table I reflect shares acquired upon exercise of the options identified in Table II, sold on the same day pursuant to the 10(b) 5-1 plan referenced in Footnote 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Hueppelsheuser, Attorney-in-Fact for Yale Podnos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1104" TargetMode="External"/><Relationship Id="rId5" Type="http://schemas.openxmlformats.org/officeDocument/2006/relationships/hyperlink" Target="http://www.sec.gov/cgi-bin/browse-edgar?action=getcompany&amp;CIK=00017991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3790</Characters>
  <CharactersWithSpaces>4397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