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207010</wp:posOffset>
            </wp:positionH>
            <wp:positionV relativeFrom="page">
              <wp:posOffset>776605</wp:posOffset>
            </wp:positionV>
            <wp:extent cx="690880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8800" cy="16510"/>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 w:lineRule="exact"/>
        <w:rPr>
          <w:sz w:val="24"/>
          <w:szCs w:val="24"/>
          <w:color w:val="auto"/>
        </w:rPr>
      </w:pPr>
    </w:p>
    <w:p>
      <w:pPr>
        <w:ind w:left="560" w:hanging="37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9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8" w:lineRule="exact"/>
        <w:rPr>
          <w:sz w:val="24"/>
          <w:szCs w:val="24"/>
          <w:color w:val="auto"/>
        </w:rPr>
      </w:pPr>
    </w:p>
    <w:p>
      <w:pPr>
        <w:ind w:left="600" w:hanging="410"/>
        <w:spacing w:after="0"/>
        <w:tabs>
          <w:tab w:leader="none" w:pos="600" w:val="left"/>
        </w:tabs>
        <w:numPr>
          <w:ilvl w:val="0"/>
          <w:numId w:val="2"/>
        </w:numPr>
        <w:rPr>
          <w:rFonts w:ascii="MS PGothic" w:cs="MS PGothic" w:eastAsia="MS PGothic" w:hAnsi="MS PGothic"/>
          <w:sz w:val="35"/>
          <w:szCs w:val="35"/>
          <w:color w:val="auto"/>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4"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001-39248</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Starling Oncology,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8" w:lineRule="exact"/>
        <w:rPr>
          <w:sz w:val="24"/>
          <w:szCs w:val="24"/>
          <w:color w:val="auto"/>
        </w:rPr>
      </w:pPr>
    </w:p>
    <w:tbl>
      <w:tblPr>
        <w:tblLayout w:type="fixed"/>
        <w:tblInd w:w="220" w:type="dxa"/>
        <w:tblCellMar>
          <w:top w:w="0" w:type="dxa"/>
          <w:left w:w="0" w:type="dxa"/>
          <w:bottom w:w="0" w:type="dxa"/>
          <w:right w:w="0" w:type="dxa"/>
        </w:tblCellMar>
      </w:tblPr>
      <w:tr>
        <w:trPr>
          <w:trHeight w:val="257"/>
        </w:trPr>
        <w:tc>
          <w:tcPr>
            <w:tcW w:w="7320" w:type="dxa"/>
            <w:vAlign w:val="bottom"/>
          </w:tcPr>
          <w:p>
            <w:pPr>
              <w:jc w:val="center"/>
              <w:ind w:right="30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84-3562323</w:t>
            </w:r>
          </w:p>
        </w:tc>
      </w:tr>
      <w:tr>
        <w:trPr>
          <w:trHeight w:val="277"/>
        </w:trPr>
        <w:tc>
          <w:tcPr>
            <w:tcW w:w="7320" w:type="dxa"/>
            <w:vAlign w:val="bottom"/>
          </w:tcPr>
          <w:p>
            <w:pPr>
              <w:jc w:val="center"/>
              <w:ind w:right="3032"/>
              <w:spacing w:after="0"/>
              <w:rPr>
                <w:sz w:val="20"/>
                <w:szCs w:val="20"/>
                <w:color w:val="auto"/>
              </w:rPr>
            </w:pPr>
            <w:r>
              <w:rPr>
                <w:rFonts w:ascii="Times New Roman" w:cs="Times New Roman" w:eastAsia="Times New Roman" w:hAnsi="Times New Roman"/>
                <w:sz w:val="18"/>
                <w:szCs w:val="18"/>
                <w:color w:val="auto"/>
                <w:w w:val="97"/>
              </w:rPr>
              <w:t>(State or other jurisdiction of incorporation or organization)</w:t>
            </w:r>
          </w:p>
        </w:tc>
        <w:tc>
          <w:tcPr>
            <w:tcW w:w="26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7"/>
              </w:rPr>
              <w:t>(I.R.S. Employer Identification No.)</w:t>
            </w:r>
          </w:p>
        </w:tc>
      </w:tr>
      <w:tr>
        <w:trPr>
          <w:trHeight w:val="297"/>
        </w:trPr>
        <w:tc>
          <w:tcPr>
            <w:tcW w:w="7320" w:type="dxa"/>
            <w:vAlign w:val="bottom"/>
          </w:tcPr>
          <w:p>
            <w:pPr>
              <w:jc w:val="center"/>
              <w:ind w:right="3052"/>
              <w:spacing w:after="0"/>
              <w:rPr>
                <w:sz w:val="20"/>
                <w:szCs w:val="20"/>
                <w:color w:val="auto"/>
              </w:rPr>
            </w:pPr>
            <w:r>
              <w:rPr>
                <w:rFonts w:ascii="Times New Roman" w:cs="Times New Roman" w:eastAsia="Times New Roman" w:hAnsi="Times New Roman"/>
                <w:sz w:val="18"/>
                <w:szCs w:val="18"/>
                <w:b w:val="1"/>
                <w:bCs w:val="1"/>
                <w:color w:val="auto"/>
                <w:w w:val="97"/>
              </w:rPr>
              <w:t>18000 Studebaker Road, Suite 800</w:t>
            </w:r>
          </w:p>
        </w:tc>
        <w:tc>
          <w:tcPr>
            <w:tcW w:w="2660" w:type="dxa"/>
            <w:vAlign w:val="bottom"/>
          </w:tcPr>
          <w:p>
            <w:pPr>
              <w:jc w:val="right"/>
              <w:ind w:right="952"/>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231"/>
        </w:trPr>
        <w:tc>
          <w:tcPr>
            <w:tcW w:w="7320" w:type="dxa"/>
            <w:vAlign w:val="bottom"/>
          </w:tcPr>
          <w:p>
            <w:pPr>
              <w:jc w:val="center"/>
              <w:ind w:right="3032"/>
              <w:spacing w:after="0"/>
              <w:rPr>
                <w:sz w:val="20"/>
                <w:szCs w:val="20"/>
                <w:color w:val="auto"/>
              </w:rPr>
            </w:pPr>
            <w:r>
              <w:rPr>
                <w:rFonts w:ascii="Times New Roman" w:cs="Times New Roman" w:eastAsia="Times New Roman" w:hAnsi="Times New Roman"/>
                <w:sz w:val="18"/>
                <w:szCs w:val="18"/>
                <w:b w:val="1"/>
                <w:bCs w:val="1"/>
                <w:color w:val="auto"/>
                <w:w w:val="97"/>
              </w:rPr>
              <w:t>Cerritos, California</w:t>
            </w:r>
          </w:p>
        </w:tc>
        <w:tc>
          <w:tcPr>
            <w:tcW w:w="2660" w:type="dxa"/>
            <w:vAlign w:val="bottom"/>
          </w:tcPr>
          <w:p>
            <w:pPr>
              <w:spacing w:after="0"/>
              <w:rPr>
                <w:sz w:val="20"/>
                <w:szCs w:val="20"/>
                <w:color w:val="auto"/>
              </w:rPr>
            </w:pPr>
          </w:p>
        </w:tc>
      </w:tr>
      <w:tr>
        <w:trPr>
          <w:trHeight w:val="277"/>
        </w:trPr>
        <w:tc>
          <w:tcPr>
            <w:tcW w:w="7320" w:type="dxa"/>
            <w:vAlign w:val="bottom"/>
          </w:tcPr>
          <w:p>
            <w:pPr>
              <w:jc w:val="center"/>
              <w:ind w:right="303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6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30"/>
        </w:trPr>
        <w:tc>
          <w:tcPr>
            <w:tcW w:w="7320" w:type="dxa"/>
            <w:vAlign w:val="bottom"/>
          </w:tcPr>
          <w:p>
            <w:pPr>
              <w:jc w:val="center"/>
              <w:ind w:left="3412"/>
              <w:spacing w:after="0"/>
              <w:rPr>
                <w:sz w:val="20"/>
                <w:szCs w:val="20"/>
                <w:color w:val="auto"/>
              </w:rPr>
            </w:pPr>
            <w:r>
              <w:rPr>
                <w:rFonts w:ascii="Times New Roman" w:cs="Times New Roman" w:eastAsia="Times New Roman" w:hAnsi="Times New Roman"/>
                <w:sz w:val="18"/>
                <w:szCs w:val="18"/>
                <w:b w:val="1"/>
                <w:bCs w:val="1"/>
                <w:color w:val="auto"/>
                <w:w w:val="97"/>
              </w:rPr>
              <w:t>(562) 735-3226</w:t>
            </w:r>
          </w:p>
        </w:tc>
        <w:tc>
          <w:tcPr>
            <w:tcW w:w="2660" w:type="dxa"/>
            <w:vAlign w:val="bottom"/>
          </w:tcPr>
          <w:p>
            <w:pPr>
              <w:spacing w:after="0"/>
              <w:rPr>
                <w:sz w:val="24"/>
                <w:szCs w:val="24"/>
                <w:color w:val="auto"/>
              </w:rPr>
            </w:pPr>
          </w:p>
        </w:tc>
      </w:tr>
      <w:tr>
        <w:trPr>
          <w:trHeight w:val="264"/>
        </w:trPr>
        <w:tc>
          <w:tcPr>
            <w:tcW w:w="7320" w:type="dxa"/>
            <w:vAlign w:val="bottom"/>
          </w:tcPr>
          <w:p>
            <w:pPr>
              <w:jc w:val="center"/>
              <w:ind w:left="3392"/>
              <w:spacing w:after="0"/>
              <w:rPr>
                <w:sz w:val="20"/>
                <w:szCs w:val="20"/>
                <w:color w:val="auto"/>
              </w:rPr>
            </w:pPr>
            <w:r>
              <w:rPr>
                <w:rFonts w:ascii="Times New Roman" w:cs="Times New Roman" w:eastAsia="Times New Roman" w:hAnsi="Times New Roman"/>
                <w:sz w:val="18"/>
                <w:szCs w:val="18"/>
                <w:color w:val="auto"/>
                <w:w w:val="97"/>
              </w:rPr>
              <w:t>Registrant's telephone number, including area code</w:t>
            </w:r>
          </w:p>
        </w:tc>
        <w:tc>
          <w:tcPr>
            <w:tcW w:w="2660" w:type="dxa"/>
            <w:vAlign w:val="bottom"/>
          </w:tcPr>
          <w:p>
            <w:pPr>
              <w:spacing w:after="0"/>
              <w:rPr>
                <w:sz w:val="22"/>
                <w:szCs w:val="22"/>
                <w:color w:val="auto"/>
              </w:rPr>
            </w:pPr>
          </w:p>
        </w:tc>
      </w:tr>
      <w:tr>
        <w:trPr>
          <w:trHeight w:val="370"/>
        </w:trPr>
        <w:tc>
          <w:tcPr>
            <w:tcW w:w="7320" w:type="dxa"/>
            <w:vAlign w:val="bottom"/>
          </w:tcPr>
          <w:p>
            <w:pPr>
              <w:jc w:val="center"/>
              <w:ind w:left="3392"/>
              <w:spacing w:after="0"/>
              <w:rPr>
                <w:sz w:val="20"/>
                <w:szCs w:val="20"/>
                <w:color w:val="auto"/>
              </w:rPr>
            </w:pPr>
            <w:r>
              <w:rPr>
                <w:rFonts w:ascii="Times New Roman" w:cs="Times New Roman" w:eastAsia="Times New Roman" w:hAnsi="Times New Roman"/>
                <w:sz w:val="18"/>
                <w:szCs w:val="18"/>
                <w:color w:val="auto"/>
                <w:w w:val="98"/>
              </w:rPr>
              <w:t>The Oncology Institute, Inc.</w:t>
            </w:r>
          </w:p>
        </w:tc>
        <w:tc>
          <w:tcPr>
            <w:tcW w:w="2660" w:type="dxa"/>
            <w:vAlign w:val="bottom"/>
          </w:tcPr>
          <w:p>
            <w:pPr>
              <w:spacing w:after="0"/>
              <w:rPr>
                <w:sz w:val="24"/>
                <w:szCs w:val="24"/>
                <w:color w:val="auto"/>
              </w:rPr>
            </w:pPr>
          </w:p>
        </w:tc>
      </w:tr>
    </w:tbl>
    <w:p>
      <w:pPr>
        <w:spacing w:after="0" w:line="20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Title of each class</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c>
          <w:tcPr>
            <w:tcW w:w="0" w:type="dxa"/>
            <w:vAlign w:val="bottom"/>
          </w:tcPr>
          <w:p>
            <w:pPr>
              <w:spacing w:after="0"/>
              <w:rPr>
                <w:sz w:val="1"/>
                <w:szCs w:val="1"/>
                <w:color w:val="auto"/>
              </w:rPr>
            </w:pPr>
          </w:p>
        </w:tc>
      </w:tr>
      <w:tr>
        <w:trPr>
          <w:trHeight w:val="218"/>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Common Stock, $0.0001 par value per share</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STLN</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Capital Market</w:t>
            </w:r>
          </w:p>
        </w:tc>
        <w:tc>
          <w:tcPr>
            <w:tcW w:w="0" w:type="dxa"/>
            <w:vAlign w:val="bottom"/>
          </w:tcPr>
          <w:p>
            <w:pPr>
              <w:spacing w:after="0"/>
              <w:rPr>
                <w:sz w:val="1"/>
                <w:szCs w:val="1"/>
                <w:color w:val="auto"/>
              </w:rPr>
            </w:pPr>
          </w:p>
        </w:tc>
      </w:tr>
      <w:tr>
        <w:trPr>
          <w:trHeight w:val="165"/>
        </w:trPr>
        <w:tc>
          <w:tcPr>
            <w:tcW w:w="442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8"/>
                <w:szCs w:val="18"/>
                <w:color w:val="auto"/>
                <w:w w:val="97"/>
              </w:rPr>
              <w:t>Redeemable warrants, each whole warrant exercisable for</w:t>
            </w: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TOIIW</w:t>
            </w:r>
          </w:p>
        </w:tc>
        <w:tc>
          <w:tcPr>
            <w:tcW w:w="4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Capital Market</w:t>
            </w:r>
          </w:p>
        </w:tc>
        <w:tc>
          <w:tcPr>
            <w:tcW w:w="0" w:type="dxa"/>
            <w:vAlign w:val="bottom"/>
          </w:tcPr>
          <w:p>
            <w:pPr>
              <w:spacing w:after="0"/>
              <w:rPr>
                <w:sz w:val="1"/>
                <w:szCs w:val="1"/>
                <w:color w:val="auto"/>
              </w:rPr>
            </w:pPr>
          </w:p>
        </w:tc>
      </w:tr>
      <w:tr>
        <w:trPr>
          <w:trHeight w:val="172"/>
        </w:trPr>
        <w:tc>
          <w:tcPr>
            <w:tcW w:w="4420" w:type="dxa"/>
            <w:vAlign w:val="bottom"/>
            <w:tcBorders>
              <w:left w:val="single" w:sz="8" w:color="auto"/>
              <w:right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one share of Common stock, each at an exercise price of</w:t>
            </w:r>
          </w:p>
        </w:tc>
        <w:tc>
          <w:tcPr>
            <w:tcW w:w="2040" w:type="dxa"/>
            <w:vAlign w:val="bottom"/>
            <w:tcBorders>
              <w:right w:val="single" w:sz="8" w:color="auto"/>
            </w:tcBorders>
            <w:vMerge w:val="continue"/>
          </w:tcPr>
          <w:p>
            <w:pPr>
              <w:spacing w:after="0"/>
              <w:rPr>
                <w:sz w:val="14"/>
                <w:szCs w:val="14"/>
                <w:color w:val="auto"/>
              </w:rPr>
            </w:pPr>
          </w:p>
        </w:tc>
        <w:tc>
          <w:tcPr>
            <w:tcW w:w="48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$11.50 per share</w:t>
            </w:r>
          </w:p>
        </w:tc>
        <w:tc>
          <w:tcPr>
            <w:tcW w:w="2040" w:type="dxa"/>
            <w:vAlign w:val="bottom"/>
            <w:tcBorders>
              <w:bottom w:val="single" w:sz="8" w:color="auto"/>
              <w:right w:val="single" w:sz="8" w:color="auto"/>
            </w:tcBorders>
          </w:tcPr>
          <w:p>
            <w:pPr>
              <w:spacing w:after="0"/>
              <w:rPr>
                <w:sz w:val="20"/>
                <w:szCs w:val="20"/>
                <w:color w:val="auto"/>
              </w:rPr>
            </w:pPr>
          </w:p>
        </w:tc>
        <w:tc>
          <w:tcPr>
            <w:tcW w:w="48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50" w:lineRule="exact"/>
        <w:rPr>
          <w:sz w:val="24"/>
          <w:szCs w:val="24"/>
          <w:color w:val="auto"/>
        </w:rPr>
      </w:pPr>
    </w:p>
    <w:p>
      <w:pPr>
        <w:ind w:right="50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88" w:lineRule="exact"/>
        <w:rPr>
          <w:sz w:val="24"/>
          <w:szCs w:val="24"/>
          <w:color w:val="auto"/>
        </w:rPr>
      </w:pPr>
    </w:p>
    <w:p>
      <w:pPr>
        <w:jc w:val="both"/>
        <w:ind w:right="28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1"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333"/>
        </w:trPr>
        <w:tc>
          <w:tcPr>
            <w:tcW w:w="2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39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332"/>
        </w:trPr>
        <w:tc>
          <w:tcPr>
            <w:tcW w:w="29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Non-accelerated filer</w:t>
            </w:r>
          </w:p>
        </w:tc>
        <w:tc>
          <w:tcPr>
            <w:tcW w:w="124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9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304"/>
        </w:trPr>
        <w:tc>
          <w:tcPr>
            <w:tcW w:w="2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9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43"/>
        </w:trPr>
        <w:tc>
          <w:tcPr>
            <w:tcW w:w="29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07" w:right="319" w:bottom="1440" w:gutter="0" w:footer="0" w:header="0"/>
        </w:sectPr>
      </w:pPr>
    </w:p>
    <w:bookmarkStart w:id="1" w:name="page2"/>
    <w:bookmarkEnd w:id="1"/>
    <w:p>
      <w:pPr>
        <w:spacing w:after="0" w:line="23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right="2500"/>
        <w:spacing w:after="0" w:line="30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3, 2026, the registrant had 101,991,024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725805</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160020</wp:posOffset>
            </wp:positionV>
            <wp:extent cx="690880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08800" cy="16510"/>
                    </a:xfrm>
                    <a:prstGeom prst="rect">
                      <a:avLst/>
                    </a:prstGeom>
                    <a:noFill/>
                  </pic:spPr>
                </pic:pic>
              </a:graphicData>
            </a:graphic>
          </wp:anchor>
        </w:drawing>
      </w:r>
    </w:p>
    <w:p>
      <w:pPr>
        <w:sectPr>
          <w:pgSz w:w="11900" w:h="16838" w:orient="portrait"/>
          <w:cols w:equalWidth="0" w:num="1">
            <w:col w:w="11020"/>
          </w:cols>
          <w:pgMar w:left="320" w:top="75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STARLING ONCOLOGY, INC.</w:t>
      </w:r>
    </w:p>
    <w:p>
      <w:pPr>
        <w:jc w:val="center"/>
        <w:spacing w:after="0" w:line="199" w:lineRule="auto"/>
        <w:rPr>
          <w:sz w:val="20"/>
          <w:szCs w:val="20"/>
          <w:color w:val="auto"/>
        </w:rPr>
      </w:pPr>
      <w:r>
        <w:rPr>
          <w:rFonts w:ascii="Times New Roman" w:cs="Times New Roman" w:eastAsia="Times New Roman" w:hAnsi="Times New Roman"/>
          <w:sz w:val="18"/>
          <w:szCs w:val="18"/>
          <w:color w:val="auto"/>
        </w:rPr>
        <w:t>Form 10-Q</w:t>
      </w:r>
    </w:p>
    <w:p>
      <w:pPr>
        <w:jc w:val="center"/>
        <w:spacing w:after="0"/>
        <w:rPr>
          <w:sz w:val="20"/>
          <w:szCs w:val="20"/>
          <w:color w:val="auto"/>
        </w:rPr>
      </w:pPr>
      <w:r>
        <w:rPr>
          <w:rFonts w:ascii="Times New Roman" w:cs="Times New Roman" w:eastAsia="Times New Roman" w:hAnsi="Times New Roman"/>
          <w:sz w:val="18"/>
          <w:szCs w:val="18"/>
          <w:color w:val="auto"/>
        </w:rPr>
        <w:t>For the Period Ended September 30, 2026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2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rPr>
              <w:t>Part I – Financial Information</w:t>
            </w:r>
          </w:p>
        </w:tc>
        <w:tc>
          <w:tcPr>
            <w:tcW w:w="7760" w:type="dxa"/>
            <w:vAlign w:val="bottom"/>
            <w:gridSpan w:val="11"/>
            <w:vMerge w:val="restart"/>
          </w:tcPr>
          <w:p>
            <w:pPr>
              <w:spacing w:after="0"/>
              <w:rPr>
                <w:sz w:val="19"/>
                <w:szCs w:val="19"/>
                <w:color w:val="auto"/>
              </w:rPr>
            </w:pP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6"/>
        </w:trPr>
        <w:tc>
          <w:tcPr>
            <w:tcW w:w="240" w:type="dxa"/>
            <w:vAlign w:val="bottom"/>
          </w:tcPr>
          <w:p>
            <w:pPr>
              <w:spacing w:after="0"/>
              <w:rPr>
                <w:sz w:val="14"/>
                <w:szCs w:val="14"/>
                <w:color w:val="auto"/>
              </w:rPr>
            </w:pPr>
          </w:p>
        </w:tc>
        <w:tc>
          <w:tcPr>
            <w:tcW w:w="2500" w:type="dxa"/>
            <w:vAlign w:val="bottom"/>
            <w:gridSpan w:val="11"/>
            <w:vMerge w:val="continue"/>
          </w:tcPr>
          <w:p>
            <w:pPr>
              <w:spacing w:after="0"/>
              <w:rPr>
                <w:sz w:val="14"/>
                <w:szCs w:val="14"/>
                <w:color w:val="auto"/>
              </w:rPr>
            </w:pPr>
          </w:p>
        </w:tc>
        <w:tc>
          <w:tcPr>
            <w:tcW w:w="7760" w:type="dxa"/>
            <w:vAlign w:val="bottom"/>
            <w:gridSpan w:val="11"/>
            <w:vMerge w:val="continue"/>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gridSpan w:val="2"/>
          </w:tcPr>
          <w:p>
            <w:pPr>
              <w:spacing w:after="0" w:line="152" w:lineRule="exact"/>
              <w:rPr>
                <w:sz w:val="20"/>
                <w:szCs w:val="20"/>
                <w:color w:val="auto"/>
              </w:rPr>
            </w:pPr>
            <w:r>
              <w:rPr>
                <w:rFonts w:ascii="Times New Roman" w:cs="Times New Roman" w:eastAsia="Times New Roman" w:hAnsi="Times New Roman"/>
                <w:sz w:val="17"/>
                <w:szCs w:val="17"/>
                <w:color w:val="0000EE"/>
              </w:rPr>
              <w:t>4</w:t>
            </w:r>
          </w:p>
        </w:tc>
        <w:tc>
          <w:tcPr>
            <w:tcW w:w="3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240" w:type="dxa"/>
            <w:vAlign w:val="bottom"/>
            <w:tcBorders>
              <w:right w:val="single" w:sz="8" w:color="0000EE"/>
            </w:tcBorders>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80" w:type="dxa"/>
            <w:vAlign w:val="bottom"/>
            <w:gridSpan w:val="2"/>
            <w:shd w:val="clear" w:color="auto" w:fill="0000EE"/>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6100" w:type="dxa"/>
            <w:vAlign w:val="bottom"/>
            <w:gridSpan w:val="8"/>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78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2026 and December 31, 2025</w:t>
            </w:r>
          </w:p>
        </w:tc>
        <w:tc>
          <w:tcPr>
            <w:tcW w:w="32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9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2026 and 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rPr>
              <w:t>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8"/>
              </w:rPr>
              <w:t>Condensed Consolidated Statements of Changes in Stockholders' Equity (Deficit) for the Three and Nine Months Ended September 30, 2026</w:t>
            </w:r>
          </w:p>
        </w:tc>
        <w:tc>
          <w:tcPr>
            <w:tcW w:w="2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20" w:type="dxa"/>
            <w:vAlign w:val="bottom"/>
            <w:tcBorders>
              <w:top w:val="single" w:sz="8" w:color="0000FF"/>
            </w:tcBorders>
            <w:gridSpan w:val="19"/>
          </w:tcPr>
          <w:p>
            <w:pPr>
              <w:spacing w:after="0" w:line="152" w:lineRule="exact"/>
              <w:rPr>
                <w:sz w:val="20"/>
                <w:szCs w:val="20"/>
                <w:color w:val="auto"/>
              </w:rPr>
            </w:pPr>
            <w:r>
              <w:rPr>
                <w:rFonts w:ascii="Times New Roman" w:cs="Times New Roman" w:eastAsia="Times New Roman" w:hAnsi="Times New Roman"/>
                <w:sz w:val="17"/>
                <w:szCs w:val="17"/>
                <w:color w:val="0000FF"/>
              </w:rPr>
              <w:t>and 2025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Cash Flows for the Nine Months Ended September 30, 2026 and 2025</w:t>
            </w:r>
          </w:p>
        </w:tc>
        <w:tc>
          <w:tcPr>
            <w:tcW w:w="224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88"/>
              </w:rPr>
              <w:t>10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2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FF"/>
                <w:w w:val="88"/>
              </w:rPr>
              <w:t>12</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60" w:type="dxa"/>
            <w:vAlign w:val="bottom"/>
            <w:tcBorders>
              <w:bottom w:val="single" w:sz="8" w:color="0000EE"/>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EE"/>
                <w:w w:val="97"/>
              </w:rPr>
              <w:t>Item 2. Management’s Discussion and Analysis of Financial Condition and Results of Operations</w:t>
            </w:r>
          </w:p>
        </w:tc>
        <w:tc>
          <w:tcPr>
            <w:tcW w:w="322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41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tcBorders>
              <w:bottom w:val="single" w:sz="8" w:color="0000EE"/>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EE"/>
                <w:w w:val="98"/>
              </w:rPr>
              <w:t>Item 3. Quantitative and Qualitative Disclosures About Market Risk</w:t>
            </w:r>
          </w:p>
        </w:tc>
        <w:tc>
          <w:tcPr>
            <w:tcW w:w="52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20" w:type="dxa"/>
            <w:vAlign w:val="bottom"/>
            <w:tcBorders>
              <w:bottom w:val="single" w:sz="8" w:color="0000EE"/>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EE"/>
                <w:w w:val="98"/>
              </w:rPr>
              <w:t>Item 4. Controls and Procedures</w:t>
            </w:r>
          </w:p>
        </w:tc>
        <w:tc>
          <w:tcPr>
            <w:tcW w:w="776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920" w:type="dxa"/>
            <w:vAlign w:val="bottom"/>
            <w:tcBorders>
              <w:bottom w:val="single" w:sz="8" w:color="0000EE"/>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EE"/>
                <w:w w:val="97"/>
              </w:rPr>
              <w:t>Part II – Other Information</w:t>
            </w:r>
          </w:p>
        </w:tc>
        <w:tc>
          <w:tcPr>
            <w:tcW w:w="8340" w:type="dxa"/>
            <w:vAlign w:val="bottom"/>
            <w:gridSpan w:val="15"/>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EE"/>
              </w:rPr>
              <w:t>Item 1. Legal Proceedings</w:t>
            </w:r>
          </w:p>
        </w:tc>
        <w:tc>
          <w:tcPr>
            <w:tcW w:w="2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EE"/>
                <w:w w:val="96"/>
              </w:rPr>
              <w:t>Item 1A. Risk Factors</w:t>
            </w:r>
          </w:p>
        </w:tc>
        <w:tc>
          <w:tcPr>
            <w:tcW w:w="280" w:type="dxa"/>
            <w:vAlign w:val="bottom"/>
            <w:tcBorders>
              <w:top w:val="single" w:sz="8" w:color="0000EE"/>
            </w:tcBorders>
            <w:gridSpan w:val="3"/>
          </w:tcPr>
          <w:p>
            <w:pPr>
              <w:spacing w:after="0"/>
              <w:rPr>
                <w:sz w:val="17"/>
                <w:szCs w:val="17"/>
                <w:color w:val="auto"/>
              </w:rPr>
            </w:pPr>
          </w:p>
        </w:tc>
        <w:tc>
          <w:tcPr>
            <w:tcW w:w="8240" w:type="dxa"/>
            <w:vAlign w:val="bottom"/>
            <w:gridSpan w:val="13"/>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tcBorders>
              <w:bottom w:val="single" w:sz="8" w:color="0000EE"/>
            </w:tcBorders>
            <w:gridSpan w:val="15"/>
          </w:tcPr>
          <w:p>
            <w:pPr>
              <w:spacing w:after="0" w:line="205" w:lineRule="exact"/>
              <w:rPr>
                <w:sz w:val="20"/>
                <w:szCs w:val="20"/>
                <w:color w:val="auto"/>
              </w:rPr>
            </w:pPr>
            <w:r>
              <w:rPr>
                <w:rFonts w:ascii="Times New Roman" w:cs="Times New Roman" w:eastAsia="Times New Roman" w:hAnsi="Times New Roman"/>
                <w:sz w:val="18"/>
                <w:szCs w:val="18"/>
                <w:color w:val="0000EE"/>
                <w:w w:val="98"/>
              </w:rPr>
              <w:t>Item 2. Unregistered Sales of Equity Securities and Use of Proceeds</w:t>
            </w:r>
          </w:p>
        </w:tc>
        <w:tc>
          <w:tcPr>
            <w:tcW w:w="524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20" w:type="dxa"/>
            <w:vAlign w:val="bottom"/>
            <w:tcBorders>
              <w:bottom w:val="single" w:sz="8" w:color="0000EE"/>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EE"/>
                <w:w w:val="97"/>
              </w:rPr>
              <w:t>Item 3. Defaults Upon Senior Securities</w:t>
            </w:r>
          </w:p>
        </w:tc>
        <w:tc>
          <w:tcPr>
            <w:tcW w:w="726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tcBorders>
              <w:bottom w:val="single" w:sz="8" w:color="0000EE"/>
            </w:tcBorders>
            <w:gridSpan w:val="21"/>
          </w:tcPr>
          <w:p>
            <w:pPr>
              <w:spacing w:after="0" w:line="205"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20" w:type="dxa"/>
            <w:vAlign w:val="bottom"/>
          </w:tcPr>
          <w:p>
            <w:pPr>
              <w:spacing w:after="0"/>
              <w:rPr>
                <w:sz w:val="17"/>
                <w:szCs w:val="17"/>
                <w:color w:val="auto"/>
              </w:rPr>
            </w:pPr>
          </w:p>
        </w:tc>
        <w:tc>
          <w:tcPr>
            <w:tcW w:w="180" w:type="dxa"/>
            <w:vAlign w:val="bottom"/>
            <w:tcBorders>
              <w:bottom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80" w:type="dxa"/>
            <w:vAlign w:val="bottom"/>
            <w:gridSpan w:val="21"/>
          </w:tcPr>
          <w:p>
            <w:pPr>
              <w:spacing w:after="0" w:line="205" w:lineRule="exact"/>
              <w:rPr>
                <w:sz w:val="20"/>
                <w:szCs w:val="20"/>
                <w:color w:val="auto"/>
              </w:rPr>
            </w:pPr>
            <w:r>
              <w:rPr>
                <w:rFonts w:ascii="Times New Roman" w:cs="Times New Roman" w:eastAsia="Times New Roman" w:hAnsi="Times New Roman"/>
                <w:sz w:val="18"/>
                <w:szCs w:val="18"/>
                <w:color w:val="0000EE"/>
              </w:rPr>
              <w:t>Item 5. Other Information</w:t>
            </w:r>
          </w:p>
        </w:tc>
        <w:tc>
          <w:tcPr>
            <w:tcW w:w="2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EE"/>
                <w:w w:val="88"/>
              </w:rPr>
              <w:t>55</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top w:val="single" w:sz="8" w:color="0000EE"/>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EE"/>
              </w:rPr>
              <w:t>Item 6. Exhibits</w:t>
            </w:r>
          </w:p>
        </w:tc>
        <w:tc>
          <w:tcPr>
            <w:tcW w:w="8260" w:type="dxa"/>
            <w:vAlign w:val="bottom"/>
            <w:gridSpan w:val="14"/>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EE"/>
                <w:w w:val="88"/>
              </w:rPr>
              <w:t>56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960" w:type="dxa"/>
            <w:vAlign w:val="bottom"/>
            <w:gridSpan w:val="1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0" w:type="dxa"/>
            <w:vAlign w:val="bottom"/>
          </w:tcPr>
          <w:p>
            <w:pPr>
              <w:spacing w:after="0"/>
              <w:rPr>
                <w:sz w:val="17"/>
                <w:szCs w:val="17"/>
                <w:color w:val="auto"/>
              </w:rPr>
            </w:pPr>
          </w:p>
        </w:tc>
        <w:tc>
          <w:tcPr>
            <w:tcW w:w="1026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EE"/>
              </w:rPr>
              <w:t>Signatures</w:t>
            </w:r>
          </w:p>
        </w:tc>
        <w:tc>
          <w:tcPr>
            <w:tcW w:w="200" w:type="dxa"/>
            <w:vAlign w:val="bottom"/>
            <w:gridSpan w:val="3"/>
          </w:tcPr>
          <w:p>
            <w:pPr>
              <w:ind w:left="20"/>
              <w:spacing w:after="0" w:line="205" w:lineRule="exact"/>
              <w:rPr>
                <w:sz w:val="20"/>
                <w:szCs w:val="20"/>
                <w:color w:val="auto"/>
              </w:rPr>
            </w:pPr>
            <w:r>
              <w:rPr>
                <w:rFonts w:ascii="Times New Roman" w:cs="Times New Roman" w:eastAsia="Times New Roman" w:hAnsi="Times New Roman"/>
                <w:sz w:val="18"/>
                <w:szCs w:val="18"/>
                <w:color w:val="0000EE"/>
                <w:w w:val="88"/>
              </w:rPr>
              <w:t>58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4"/>
        </w:trPr>
        <w:tc>
          <w:tcPr>
            <w:tcW w:w="240" w:type="dxa"/>
            <w:vAlign w:val="bottom"/>
            <w:tcBorders>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500" w:type="dxa"/>
            <w:vAlign w:val="bottom"/>
            <w:tcBorders>
              <w:top w:val="single" w:sz="8" w:color="0000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5"/>
        </w:trPr>
        <w:tc>
          <w:tcPr>
            <w:tcW w:w="64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710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00" w:type="dxa"/>
            <w:vAlign w:val="bottom"/>
          </w:tcPr>
          <w:p>
            <w:pPr>
              <w:ind w:left="3960"/>
              <w:spacing w:after="0"/>
              <w:rPr>
                <w:sz w:val="20"/>
                <w:szCs w:val="20"/>
                <w:color w:val="auto"/>
              </w:rPr>
            </w:pPr>
            <w:r>
              <w:rPr>
                <w:rFonts w:ascii="Times New Roman" w:cs="Times New Roman" w:eastAsia="Times New Roman" w:hAnsi="Times New Roman"/>
                <w:sz w:val="18"/>
                <w:szCs w:val="18"/>
                <w:b w:val="1"/>
                <w:bCs w:val="1"/>
                <w:color w:val="231F20"/>
              </w:rPr>
              <w:t>STARLING ONCOLOGY, INC.</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00" w:type="dxa"/>
            <w:vAlign w:val="bottom"/>
          </w:tcPr>
          <w:p>
            <w:pPr>
              <w:jc w:val="center"/>
              <w:ind w:left="2532"/>
              <w:spacing w:after="0"/>
              <w:rPr>
                <w:sz w:val="20"/>
                <w:szCs w:val="20"/>
                <w:color w:val="auto"/>
              </w:rPr>
            </w:pPr>
            <w:r>
              <w:rPr>
                <w:rFonts w:ascii="Times New Roman" w:cs="Times New Roman" w:eastAsia="Times New Roman" w:hAnsi="Times New Roman"/>
                <w:sz w:val="18"/>
                <w:szCs w:val="18"/>
                <w:b w:val="1"/>
                <w:bCs w:val="1"/>
                <w:color w:val="231F20"/>
                <w:w w:val="97"/>
              </w:rPr>
              <w:t>CONDENSED CONSOLIDATED BALANCE SHEETS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00" w:type="dxa"/>
            <w:vAlign w:val="bottom"/>
          </w:tcPr>
          <w:p>
            <w:pPr>
              <w:jc w:val="center"/>
              <w:ind w:left="2512"/>
              <w:spacing w:after="0"/>
              <w:rPr>
                <w:sz w:val="20"/>
                <w:szCs w:val="20"/>
                <w:color w:val="auto"/>
              </w:rPr>
            </w:pPr>
            <w:r>
              <w:rPr>
                <w:rFonts w:ascii="Times New Roman" w:cs="Times New Roman" w:eastAsia="Times New Roman" w:hAnsi="Times New Roman"/>
                <w:sz w:val="18"/>
                <w:szCs w:val="18"/>
                <w:b w:val="1"/>
                <w:bCs w:val="1"/>
                <w:color w:val="231F20"/>
                <w:w w:val="98"/>
              </w:rPr>
              <w:t>(US Dollars in thousands, except share data)</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1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40" w:type="dxa"/>
            <w:vAlign w:val="bottom"/>
          </w:tcPr>
          <w:p>
            <w:pPr>
              <w:spacing w:after="0"/>
              <w:rPr>
                <w:sz w:val="20"/>
                <w:szCs w:val="20"/>
                <w:color w:val="auto"/>
              </w:rPr>
            </w:pPr>
          </w:p>
        </w:tc>
        <w:tc>
          <w:tcPr>
            <w:tcW w:w="77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7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right of use assets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187,773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40" w:type="dxa"/>
            <w:vAlign w:val="bottom"/>
          </w:tcPr>
          <w:p>
            <w:pPr>
              <w:spacing w:after="0"/>
              <w:rPr>
                <w:sz w:val="18"/>
                <w:szCs w:val="18"/>
                <w:color w:val="auto"/>
              </w:rPr>
            </w:pPr>
          </w:p>
        </w:tc>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Asset-based revolving credit facility</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Warrant and conversion option derivative liabilities</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40" w:type="dxa"/>
            <w:vAlign w:val="bottom"/>
          </w:tcPr>
          <w:p>
            <w:pPr>
              <w:spacing w:after="0"/>
              <w:rPr>
                <w:sz w:val="19"/>
                <w:szCs w:val="19"/>
                <w:color w:val="auto"/>
              </w:rPr>
            </w:pPr>
          </w:p>
        </w:tc>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$0.0001 par value, authorized 500,000,000 shares; 103,724,798 shares issued and</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40" w:type="dxa"/>
            <w:vAlign w:val="bottom"/>
          </w:tcPr>
          <w:p>
            <w:pPr>
              <w:spacing w:after="0"/>
              <w:rPr>
                <w:sz w:val="17"/>
                <w:szCs w:val="17"/>
                <w:color w:val="auto"/>
              </w:rPr>
            </w:pPr>
          </w:p>
        </w:tc>
        <w:tc>
          <w:tcPr>
            <w:tcW w:w="77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xml:space="preserve">101,991,024 </w:t>
            </w:r>
            <w:r>
              <w:rPr>
                <w:rFonts w:ascii="Times New Roman" w:cs="Times New Roman" w:eastAsia="Times New Roman" w:hAnsi="Times New Roman"/>
                <w:sz w:val="18"/>
                <w:szCs w:val="18"/>
                <w:color w:val="231F20"/>
              </w:rPr>
              <w:t>shares</w:t>
            </w:r>
            <w:r>
              <w:rPr>
                <w:rFonts w:ascii="Times New Roman" w:cs="Times New Roman" w:eastAsia="Times New Roman" w:hAnsi="Times New Roman"/>
                <w:sz w:val="18"/>
                <w:szCs w:val="18"/>
                <w:color w:val="auto"/>
              </w:rPr>
              <w:t xml:space="preserve"> outstanding at September 30, 2026 and </w:t>
            </w:r>
            <w:r>
              <w:rPr>
                <w:rFonts w:ascii="Times New Roman" w:cs="Times New Roman" w:eastAsia="Times New Roman" w:hAnsi="Times New Roman"/>
                <w:sz w:val="18"/>
                <w:szCs w:val="18"/>
                <w:color w:val="231F20"/>
              </w:rPr>
              <w:t>100,596,918</w:t>
            </w:r>
            <w:r>
              <w:rPr>
                <w:rFonts w:ascii="Times New Roman" w:cs="Times New Roman" w:eastAsia="Times New Roman" w:hAnsi="Times New Roman"/>
                <w:sz w:val="18"/>
                <w:szCs w:val="18"/>
                <w:color w:val="auto"/>
              </w:rPr>
              <w:t xml:space="preserve"> shares issued and 98,863,144</w:t>
            </w: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0" w:type="dxa"/>
            <w:vAlign w:val="bottom"/>
          </w:tcPr>
          <w:p>
            <w:pPr>
              <w:spacing w:after="0"/>
              <w:rPr>
                <w:sz w:val="21"/>
                <w:szCs w:val="21"/>
                <w:color w:val="auto"/>
              </w:rPr>
            </w:pPr>
          </w:p>
        </w:tc>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at December 31, 2025</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640" w:type="dxa"/>
            <w:vAlign w:val="bottom"/>
          </w:tcPr>
          <w:p>
            <w:pPr>
              <w:spacing w:after="0"/>
              <w:rPr>
                <w:sz w:val="19"/>
                <w:szCs w:val="19"/>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Series A Convertible Preferred Stock, $0.0001 par value, authorized 10,000,000 shares; 193,507 shares</w:t>
            </w:r>
          </w:p>
        </w:tc>
        <w:tc>
          <w:tcPr>
            <w:tcW w:w="220" w:type="dxa"/>
            <w:vAlign w:val="bottom"/>
          </w:tcPr>
          <w:p>
            <w:pPr>
              <w:spacing w:after="0"/>
              <w:rPr>
                <w:sz w:val="19"/>
                <w:szCs w:val="19"/>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 w:type="dxa"/>
            <w:vAlign w:val="bottom"/>
          </w:tcPr>
          <w:p>
            <w:pPr>
              <w:spacing w:after="0"/>
              <w:rPr>
                <w:sz w:val="19"/>
                <w:szCs w:val="19"/>
                <w:color w:val="auto"/>
              </w:rPr>
            </w:pPr>
          </w:p>
        </w:tc>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w:t>
            </w:r>
          </w:p>
        </w:tc>
        <w:tc>
          <w:tcPr>
            <w:tcW w:w="22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40" w:type="dxa"/>
            <w:vAlign w:val="bottom"/>
          </w:tcPr>
          <w:p>
            <w:pPr>
              <w:spacing w:after="0"/>
              <w:rPr>
                <w:sz w:val="21"/>
                <w:szCs w:val="21"/>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263,102</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77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Treasury Stock at cost, 1,733,774 shares at September 30, 2026 and December 31, 2025</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8"/>
        </w:trPr>
        <w:tc>
          <w:tcPr>
            <w:tcW w:w="640" w:type="dxa"/>
            <w:vAlign w:val="bottom"/>
          </w:tcPr>
          <w:p>
            <w:pPr>
              <w:spacing w:after="0"/>
              <w:rPr>
                <w:sz w:val="22"/>
                <w:szCs w:val="22"/>
                <w:color w:val="auto"/>
              </w:rPr>
            </w:pPr>
          </w:p>
        </w:tc>
        <w:tc>
          <w:tcPr>
            <w:tcW w:w="77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(299,448)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(271,4</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76"/>
        </w:trPr>
        <w:tc>
          <w:tcPr>
            <w:tcW w:w="640" w:type="dxa"/>
            <w:vAlign w:val="bottom"/>
          </w:tcPr>
          <w:p>
            <w:pPr>
              <w:spacing w:after="0"/>
              <w:rPr>
                <w:sz w:val="23"/>
                <w:szCs w:val="23"/>
                <w:color w:val="auto"/>
              </w:rPr>
            </w:pPr>
          </w:p>
        </w:tc>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1"/>
        </w:trPr>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231F20"/>
        </w:rPr>
        <w:t>Note: The Company’s condensed consolidated balance sheets include the assets and liabilities of its consolidated variable interest entities (“VIEs”). The condensed consolidated balance sheets include total assets that can be used only to settle obligations of the Company’s consolidated VIEs totaling $116,080 and $88,806 as of September 30, 2026 and December 31, 2025, respectively, and total liabilities of the Company’s consolidated VIEs for which creditors do not have recourse to the general credit of the Company totaling $102,663 and $55,410 as of September 30, 2026 and December 31, 2025, respectively. See Note 16 for further details.</w:t>
      </w:r>
    </w:p>
    <w:p>
      <w:pPr>
        <w:spacing w:after="0" w:line="14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664210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00"/>
          </w:cols>
          <w:pgMar w:left="320" w:top="110"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2"/>
        </w:trPr>
        <w:tc>
          <w:tcPr>
            <w:tcW w:w="126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231F20"/>
              </w:rPr>
              <w:t>STARLING ONCOLOGY, INC.</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8200" w:type="dxa"/>
            <w:vAlign w:val="bottom"/>
            <w:gridSpan w:val="10"/>
          </w:tcPr>
          <w:p>
            <w:pPr>
              <w:jc w:val="center"/>
              <w:ind w:left="452"/>
              <w:spacing w:after="0"/>
              <w:rPr>
                <w:sz w:val="20"/>
                <w:szCs w:val="20"/>
                <w:color w:val="auto"/>
              </w:rPr>
            </w:pPr>
            <w:r>
              <w:rPr>
                <w:rFonts w:ascii="Times New Roman" w:cs="Times New Roman" w:eastAsia="Times New Roman" w:hAnsi="Times New Roman"/>
                <w:sz w:val="18"/>
                <w:szCs w:val="18"/>
                <w:b w:val="1"/>
                <w:bCs w:val="1"/>
                <w:color w:val="231F20"/>
                <w:w w:val="96"/>
              </w:rPr>
              <w:t>CONDENSED CONSOLIDATED STATEMENTS OF OPERATIONS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231F20"/>
                <w:w w:val="97"/>
              </w:rPr>
              <w:t>(US Dollars in thousands, except share data)</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9"/>
        </w:trPr>
        <w:tc>
          <w:tcPr>
            <w:tcW w:w="1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3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Pr>
          <w:p>
            <w:pPr>
              <w:spacing w:after="0"/>
              <w:rPr>
                <w:sz w:val="24"/>
                <w:szCs w:val="24"/>
                <w:color w:val="auto"/>
              </w:rPr>
            </w:pPr>
          </w:p>
        </w:tc>
        <w:tc>
          <w:tcPr>
            <w:tcW w:w="3320" w:type="dxa"/>
            <w:vAlign w:val="bottom"/>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CCEEFF"/>
            </w:tcBorders>
          </w:tcPr>
          <w:p>
            <w:pPr>
              <w:spacing w:after="0"/>
              <w:rPr>
                <w:sz w:val="20"/>
                <w:szCs w:val="20"/>
                <w:color w:val="auto"/>
              </w:rPr>
            </w:pPr>
          </w:p>
        </w:tc>
        <w:tc>
          <w:tcPr>
            <w:tcW w:w="2620" w:type="dxa"/>
            <w:vAlign w:val="bottom"/>
            <w:tcBorders>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Patient services</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60,195</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177,927</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169,154</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Specialty Pharmacy</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187,761</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478,490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360,772</w:t>
            </w:r>
          </w:p>
        </w:tc>
        <w:tc>
          <w:tcPr>
            <w:tcW w:w="0" w:type="dxa"/>
            <w:vAlign w:val="bottom"/>
          </w:tcPr>
          <w:p>
            <w:pPr>
              <w:spacing w:after="0"/>
              <w:rPr>
                <w:sz w:val="1"/>
                <w:szCs w:val="1"/>
                <w:color w:val="auto"/>
              </w:rPr>
            </w:pPr>
          </w:p>
        </w:tc>
      </w:tr>
      <w:tr>
        <w:trPr>
          <w:trHeight w:val="24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costs – patient services</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152,802</w:t>
            </w:r>
          </w:p>
        </w:tc>
        <w:tc>
          <w:tcPr>
            <w:tcW w:w="0" w:type="dxa"/>
            <w:vAlign w:val="bottom"/>
          </w:tcPr>
          <w:p>
            <w:pPr>
              <w:spacing w:after="0"/>
              <w:rPr>
                <w:sz w:val="1"/>
                <w:szCs w:val="1"/>
                <w:color w:val="auto"/>
              </w:rPr>
            </w:pPr>
          </w:p>
        </w:tc>
      </w:tr>
      <w:tr>
        <w:trPr>
          <w:trHeight w:val="244"/>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 costs – specialty pharmacy</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costs – clinical trials &amp; other</w:t>
            </w:r>
          </w:p>
        </w:tc>
        <w:tc>
          <w:tcPr>
            <w:tcW w:w="4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4"/>
        </w:trPr>
        <w:tc>
          <w:tcPr>
            <w:tcW w:w="3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77,534</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37"/>
        </w:trPr>
        <w:tc>
          <w:tcPr>
            <w:tcW w:w="3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172,749</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492,601</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389,948</w:t>
            </w: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0" w:type="dxa"/>
            <w:vAlign w:val="bottom"/>
          </w:tcPr>
          <w:p>
            <w:pPr>
              <w:spacing w:after="0"/>
              <w:rPr>
                <w:sz w:val="1"/>
                <w:szCs w:val="1"/>
                <w:color w:val="auto"/>
              </w:rPr>
            </w:pPr>
          </w:p>
        </w:tc>
      </w:tr>
      <w:tr>
        <w:trPr>
          <w:trHeight w:val="24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19"/>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and conversion</w:t>
            </w:r>
          </w:p>
        </w:tc>
        <w:tc>
          <w:tcPr>
            <w:tcW w:w="40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0" w:type="dxa"/>
            <w:vAlign w:val="bottom"/>
          </w:tcPr>
          <w:p>
            <w:pPr>
              <w:spacing w:after="0"/>
              <w:rPr>
                <w:sz w:val="1"/>
                <w:szCs w:val="1"/>
                <w:color w:val="auto"/>
              </w:rPr>
            </w:pPr>
          </w:p>
        </w:tc>
      </w:tr>
      <w:tr>
        <w:trPr>
          <w:trHeight w:val="229"/>
        </w:trPr>
        <w:tc>
          <w:tcPr>
            <w:tcW w:w="3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option derivative liabilities</w:t>
            </w: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44"/>
        </w:trPr>
        <w:tc>
          <w:tcPr>
            <w:tcW w:w="3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0" w:type="dxa"/>
            <w:vAlign w:val="bottom"/>
          </w:tcPr>
          <w:p>
            <w:pPr>
              <w:spacing w:after="0"/>
              <w:rPr>
                <w:sz w:val="1"/>
                <w:szCs w:val="1"/>
                <w:color w:val="auto"/>
              </w:rPr>
            </w:pPr>
          </w:p>
        </w:tc>
      </w:tr>
      <w:tr>
        <w:trPr>
          <w:trHeight w:val="244"/>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non-operating expense (income)</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24,053</w:t>
            </w:r>
          </w:p>
        </w:tc>
        <w:tc>
          <w:tcPr>
            <w:tcW w:w="0" w:type="dxa"/>
            <w:vAlign w:val="bottom"/>
          </w:tcPr>
          <w:p>
            <w:pPr>
              <w:spacing w:after="0"/>
              <w:rPr>
                <w:sz w:val="1"/>
                <w:szCs w:val="1"/>
                <w:color w:val="auto"/>
              </w:rPr>
            </w:pPr>
          </w:p>
        </w:tc>
      </w:tr>
      <w:tr>
        <w:trPr>
          <w:trHeight w:val="244"/>
        </w:trPr>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0" w:type="dxa"/>
            <w:vAlign w:val="bottom"/>
          </w:tcPr>
          <w:p>
            <w:pPr>
              <w:spacing w:after="0"/>
              <w:rPr>
                <w:sz w:val="1"/>
                <w:szCs w:val="1"/>
                <w:color w:val="auto"/>
              </w:rPr>
            </w:pPr>
          </w:p>
        </w:tc>
      </w:tr>
      <w:tr>
        <w:trPr>
          <w:trHeight w:val="251"/>
        </w:trPr>
        <w:tc>
          <w:tcPr>
            <w:tcW w:w="3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w:t>
            </w:r>
          </w:p>
        </w:tc>
        <w:tc>
          <w:tcPr>
            <w:tcW w:w="4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1"/>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Borders>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100" w:type="dxa"/>
            <w:vAlign w:val="bottom"/>
            <w:tcBorders>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8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4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0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(43,878)</w:t>
            </w:r>
          </w:p>
        </w:tc>
        <w:tc>
          <w:tcPr>
            <w:tcW w:w="0" w:type="dxa"/>
            <w:vAlign w:val="bottom"/>
          </w:tcPr>
          <w:p>
            <w:pPr>
              <w:spacing w:after="0"/>
              <w:rPr>
                <w:sz w:val="1"/>
                <w:szCs w:val="1"/>
                <w:color w:val="auto"/>
              </w:rPr>
            </w:pPr>
          </w:p>
        </w:tc>
      </w:tr>
      <w:tr>
        <w:trPr>
          <w:trHeight w:val="232"/>
        </w:trPr>
        <w:tc>
          <w:tcPr>
            <w:tcW w:w="3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basic and diluted</w:t>
            </w:r>
          </w:p>
        </w:tc>
        <w:tc>
          <w:tcPr>
            <w:tcW w:w="40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Net loss per share attributable to common stockholders: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44"/>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21"/>
                <w:szCs w:val="21"/>
                <w:color w:val="auto"/>
              </w:rPr>
            </w:pP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number of shares outstanding:</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104,728,390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97,474,797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103,197,885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89,333,733</w:t>
            </w:r>
          </w:p>
        </w:tc>
        <w:tc>
          <w:tcPr>
            <w:tcW w:w="0" w:type="dxa"/>
            <w:vAlign w:val="bottom"/>
          </w:tcPr>
          <w:p>
            <w:pPr>
              <w:spacing w:after="0"/>
              <w:rPr>
                <w:sz w:val="1"/>
                <w:szCs w:val="1"/>
                <w:color w:val="auto"/>
              </w:rPr>
            </w:pPr>
          </w:p>
        </w:tc>
      </w:tr>
      <w:tr>
        <w:trPr>
          <w:trHeight w:val="258"/>
        </w:trPr>
        <w:tc>
          <w:tcPr>
            <w:tcW w:w="3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104,728,390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97,474,797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103,197,885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89,333,733</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664210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231F20"/>
        </w:rPr>
        <w:t>STARLING ONCOLOGY, INC.</w:t>
      </w:r>
    </w:p>
    <w:p>
      <w:pPr>
        <w:spacing w:after="0" w:line="2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b w:val="1"/>
          <w:bCs w:val="1"/>
          <w:color w:val="231F20"/>
        </w:rPr>
        <w:t>CONDENSED CONSOLIDATED STATEMENTS OF CHANGES IN STOCKHOLDERS’ EQUITY (DEFICIT)</w:t>
      </w:r>
    </w:p>
    <w:p>
      <w:pPr>
        <w:ind w:left="3420"/>
        <w:spacing w:after="0" w:line="237" w:lineRule="auto"/>
        <w:rPr>
          <w:sz w:val="20"/>
          <w:szCs w:val="20"/>
          <w:color w:val="auto"/>
        </w:rPr>
      </w:pPr>
      <w:r>
        <w:rPr>
          <w:rFonts w:ascii="Times New Roman" w:cs="Times New Roman" w:eastAsia="Times New Roman" w:hAnsi="Times New Roman"/>
          <w:sz w:val="18"/>
          <w:szCs w:val="18"/>
          <w:b w:val="1"/>
          <w:bCs w:val="1"/>
          <w:color w:val="231F20"/>
        </w:rPr>
        <w:t>(US Dollars in thousands, except share and per share data)</w:t>
      </w: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0" w:type="dxa"/>
            <w:vAlign w:val="bottom"/>
          </w:tcPr>
          <w:p>
            <w:pPr>
              <w:spacing w:after="0"/>
              <w:rPr>
                <w:sz w:val="18"/>
                <w:szCs w:val="18"/>
                <w:color w:val="auto"/>
              </w:rPr>
            </w:pPr>
          </w:p>
        </w:tc>
        <w:tc>
          <w:tcPr>
            <w:tcW w:w="1760" w:type="dxa"/>
            <w:vAlign w:val="bottom"/>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1"/>
              <w:spacing w:after="0" w:line="143"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8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3"/>
                <w:szCs w:val="13"/>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Paid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0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77,470,886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165,045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215,413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(210,813)</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w:t>
            </w:r>
          </w:p>
        </w:tc>
        <w:tc>
          <w:tcPr>
            <w:tcW w:w="0" w:type="dxa"/>
            <w:vAlign w:val="bottom"/>
          </w:tcPr>
          <w:p>
            <w:pPr>
              <w:spacing w:after="0"/>
              <w:rPr>
                <w:sz w:val="1"/>
                <w:szCs w:val="1"/>
                <w:color w:val="auto"/>
              </w:rPr>
            </w:pPr>
          </w:p>
        </w:tc>
      </w:tr>
      <w:tr>
        <w:trPr>
          <w:trHeight w:val="207"/>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(19,585)</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vesting RSUs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1,023,867</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4"/>
                <w:szCs w:val="14"/>
                <w:color w:val="auto"/>
              </w:rPr>
              <w:t>Issuance of common stock upon private placement,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12,006,510</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15,358</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15,359</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w:t>
            </w:r>
          </w:p>
        </w:tc>
        <w:tc>
          <w:tcPr>
            <w:tcW w:w="88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200" w:type="dxa"/>
            <w:vAlign w:val="bottom"/>
          </w:tcPr>
          <w:p>
            <w:pPr>
              <w:ind w:left="120"/>
              <w:spacing w:after="0" w:line="132" w:lineRule="exact"/>
              <w:rPr>
                <w:sz w:val="20"/>
                <w:szCs w:val="20"/>
                <w:color w:val="auto"/>
              </w:rPr>
            </w:pPr>
            <w:r>
              <w:rPr>
                <w:rFonts w:ascii="Times New Roman" w:cs="Times New Roman" w:eastAsia="Times New Roman" w:hAnsi="Times New Roman"/>
                <w:sz w:val="14"/>
                <w:szCs w:val="14"/>
                <w:color w:val="auto"/>
              </w:rPr>
              <w:t>Issuance of preferred stock upon exchange of debt for</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37,233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1"/>
                <w:szCs w:val="11"/>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0" w:type="dxa"/>
            <w:vAlign w:val="bottom"/>
          </w:tcPr>
          <w:p>
            <w:pPr>
              <w:spacing w:after="0"/>
              <w:rPr>
                <w:sz w:val="1"/>
                <w:szCs w:val="1"/>
                <w:color w:val="auto"/>
              </w:rPr>
            </w:pPr>
          </w:p>
        </w:tc>
      </w:tr>
      <w:tr>
        <w:trPr>
          <w:trHeight w:val="196"/>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w:t>
            </w: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90,661,800</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202,278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236,477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(230,398)</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5,069</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(17,009)</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(17,009)</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vesting RSUs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642,020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2,484,480</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07"/>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857,200</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0" w:type="dxa"/>
            <w:vAlign w:val="bottom"/>
          </w:tcPr>
          <w:p>
            <w:pPr>
              <w:spacing w:after="0"/>
              <w:rPr>
                <w:sz w:val="1"/>
                <w:szCs w:val="1"/>
                <w:color w:val="auto"/>
              </w:rPr>
            </w:pPr>
          </w:p>
        </w:tc>
      </w:tr>
      <w:tr>
        <w:trPr>
          <w:trHeight w:val="20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95,013,596</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193,706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239,432</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(247,407)</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(16,504)</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vesting RSUs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159,905</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321,499</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Conversion of preferred stock to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ind w:left="120"/>
              <w:spacing w:after="0" w:line="134" w:lineRule="exact"/>
              <w:rPr>
                <w:sz w:val="20"/>
                <w:szCs w:val="20"/>
                <w:color w:val="auto"/>
              </w:rPr>
            </w:pPr>
            <w:r>
              <w:rPr>
                <w:rFonts w:ascii="Times New Roman" w:cs="Times New Roman" w:eastAsia="Times New Roman" w:hAnsi="Times New Roman"/>
                <w:sz w:val="14"/>
                <w:szCs w:val="14"/>
                <w:color w:val="auto"/>
              </w:rPr>
              <w:t>Issuance of common stock upon at the market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3,392,103</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11,299</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11,300</w:t>
            </w: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offering, net</w:t>
            </w:r>
          </w:p>
        </w:tc>
        <w:tc>
          <w:tcPr>
            <w:tcW w:w="88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200" w:type="dxa"/>
            <w:vAlign w:val="bottom"/>
          </w:tcPr>
          <w:p>
            <w:pPr>
              <w:ind w:left="120"/>
              <w:spacing w:after="0" w:line="132" w:lineRule="exact"/>
              <w:rPr>
                <w:sz w:val="20"/>
                <w:szCs w:val="20"/>
                <w:color w:val="auto"/>
              </w:rPr>
            </w:pPr>
            <w:r>
              <w:rPr>
                <w:rFonts w:ascii="Times New Roman" w:cs="Times New Roman" w:eastAsia="Times New Roman" w:hAnsi="Times New Roman"/>
                <w:sz w:val="14"/>
                <w:szCs w:val="14"/>
                <w:color w:val="auto"/>
              </w:rPr>
              <w:t>Share issuances through employee stock purchase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59,688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1"/>
                <w:szCs w:val="11"/>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196"/>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99,303,511</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193,507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252,646</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(263,911)</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(12,274)</w:t>
            </w:r>
          </w:p>
        </w:tc>
        <w:tc>
          <w:tcPr>
            <w:tcW w:w="0" w:type="dxa"/>
            <w:vAlign w:val="bottom"/>
          </w:tcPr>
          <w:p>
            <w:pPr>
              <w:spacing w:after="0"/>
              <w:rPr>
                <w:sz w:val="1"/>
                <w:szCs w:val="1"/>
                <w:color w:val="auto"/>
              </w:rPr>
            </w:pPr>
          </w:p>
        </w:tc>
      </w:tr>
      <w:tr>
        <w:trPr>
          <w:trHeight w:val="1608"/>
        </w:trPr>
        <w:tc>
          <w:tcPr>
            <w:tcW w:w="3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0" w:type="dxa"/>
            <w:vAlign w:val="bottom"/>
          </w:tcPr>
          <w:p>
            <w:pPr>
              <w:spacing w:after="0"/>
              <w:rPr>
                <w:sz w:val="18"/>
                <w:szCs w:val="18"/>
                <w:color w:val="auto"/>
              </w:rPr>
            </w:pPr>
          </w:p>
        </w:tc>
        <w:tc>
          <w:tcPr>
            <w:tcW w:w="1760" w:type="dxa"/>
            <w:vAlign w:val="bottom"/>
            <w:gridSpan w:val="4"/>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8"/>
                <w:szCs w:val="18"/>
                <w:color w:val="auto"/>
              </w:rPr>
            </w:pPr>
          </w:p>
        </w:tc>
        <w:tc>
          <w:tcPr>
            <w:tcW w:w="18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Preferred Stock</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1"/>
              <w:spacing w:after="0" w:line="143"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8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88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3"/>
                <w:szCs w:val="13"/>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41"/>
              <w:spacing w:after="0" w:line="158" w:lineRule="exact"/>
              <w:rPr>
                <w:sz w:val="20"/>
                <w:szCs w:val="20"/>
                <w:color w:val="auto"/>
              </w:rPr>
            </w:pPr>
            <w:r>
              <w:rPr>
                <w:rFonts w:ascii="Times New Roman" w:cs="Times New Roman" w:eastAsia="Times New Roman" w:hAnsi="Times New Roman"/>
                <w:sz w:val="16"/>
                <w:szCs w:val="16"/>
                <w:b w:val="1"/>
                <w:bCs w:val="1"/>
                <w:color w:val="auto"/>
                <w:w w:val="98"/>
              </w:rPr>
              <w:t>Paid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21"/>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06"/>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100,596,918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193,507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256,708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(271,419)</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(15,720)</w:t>
            </w:r>
          </w:p>
        </w:tc>
        <w:tc>
          <w:tcPr>
            <w:tcW w:w="0" w:type="dxa"/>
            <w:vAlign w:val="bottom"/>
          </w:tcPr>
          <w:p>
            <w:pPr>
              <w:spacing w:after="0"/>
              <w:rPr>
                <w:sz w:val="1"/>
                <w:szCs w:val="1"/>
                <w:color w:val="auto"/>
              </w:rPr>
            </w:pPr>
          </w:p>
        </w:tc>
      </w:tr>
      <w:tr>
        <w:trPr>
          <w:trHeight w:val="207"/>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vesting RSUs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1,000,918</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38"/>
        </w:trPr>
        <w:tc>
          <w:tcPr>
            <w:tcW w:w="3200" w:type="dxa"/>
            <w:vAlign w:val="bottom"/>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Share issuances through employee stock purchase</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84,392</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0" w:type="dxa"/>
            <w:vAlign w:val="bottom"/>
          </w:tcPr>
          <w:p>
            <w:pPr>
              <w:spacing w:after="0"/>
              <w:rPr>
                <w:sz w:val="1"/>
                <w:szCs w:val="1"/>
                <w:color w:val="auto"/>
              </w:rPr>
            </w:pPr>
          </w:p>
        </w:tc>
      </w:tr>
      <w:tr>
        <w:trPr>
          <w:trHeight w:val="194"/>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07"/>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101,707,558</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193,507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258,635</w:t>
            </w:r>
          </w:p>
        </w:tc>
        <w:tc>
          <w:tcPr>
            <w:tcW w:w="80" w:type="dxa"/>
            <w:vAlign w:val="bottom"/>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(273,911)</w:t>
            </w:r>
          </w:p>
        </w:tc>
        <w:tc>
          <w:tcPr>
            <w:tcW w:w="80" w:type="dxa"/>
            <w:vAlign w:val="bottom"/>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(16,285)</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vesting RSUs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424,388</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102,202,753</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193,507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259,795</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(283,700)</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(24,914)</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(15,748)</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vesting RSUs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64,281</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136"/>
        </w:trPr>
        <w:tc>
          <w:tcPr>
            <w:tcW w:w="3200" w:type="dxa"/>
            <w:vAlign w:val="bottom"/>
          </w:tcPr>
          <w:p>
            <w:pPr>
              <w:ind w:left="120"/>
              <w:spacing w:after="0" w:line="136" w:lineRule="exact"/>
              <w:rPr>
                <w:sz w:val="20"/>
                <w:szCs w:val="20"/>
                <w:color w:val="auto"/>
              </w:rPr>
            </w:pPr>
            <w:r>
              <w:rPr>
                <w:rFonts w:ascii="Times New Roman" w:cs="Times New Roman" w:eastAsia="Times New Roman" w:hAnsi="Times New Roman"/>
                <w:sz w:val="14"/>
                <w:szCs w:val="14"/>
                <w:color w:val="auto"/>
              </w:rPr>
              <w:t>Share issuances through employee stock purchase</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55,309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1"/>
                <w:szCs w:val="11"/>
                <w:color w:val="auto"/>
              </w:rPr>
            </w:pPr>
          </w:p>
        </w:tc>
        <w:tc>
          <w:tcPr>
            <w:tcW w:w="7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1"/>
                <w:szCs w:val="11"/>
                <w:color w:val="auto"/>
              </w:rPr>
            </w:pPr>
          </w:p>
        </w:tc>
        <w:tc>
          <w:tcPr>
            <w:tcW w:w="840" w:type="dxa"/>
            <w:vAlign w:val="bottom"/>
            <w:vMerge w:val="restart"/>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92"/>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upon exercise of warrants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1,358,449</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09"/>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02"/>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103,724,798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193,507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w w:val="98"/>
              </w:rPr>
              <w:t>(1,019)</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263,102</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(299,448)</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(37,355)</w:t>
            </w:r>
          </w:p>
        </w:tc>
        <w:tc>
          <w:tcPr>
            <w:tcW w:w="0" w:type="dxa"/>
            <w:vAlign w:val="bottom"/>
          </w:tcPr>
          <w:p>
            <w:pPr>
              <w:spacing w:after="0"/>
              <w:rPr>
                <w:sz w:val="1"/>
                <w:szCs w:val="1"/>
                <w:color w:val="auto"/>
              </w:rPr>
            </w:pPr>
          </w:p>
        </w:tc>
      </w:tr>
      <w:tr>
        <w:trPr>
          <w:trHeight w:val="4764"/>
        </w:trPr>
        <w:tc>
          <w:tcPr>
            <w:tcW w:w="32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ind w:right="1819"/>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655955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1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8"/>
        </w:trPr>
        <w:tc>
          <w:tcPr>
            <w:tcW w:w="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76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231F20"/>
              </w:rPr>
              <w:t>STARLING ONCOLOGY, INC.</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20" w:type="dxa"/>
            <w:vAlign w:val="bottom"/>
            <w:gridSpan w:val="2"/>
          </w:tcPr>
          <w:p>
            <w:pPr>
              <w:jc w:val="center"/>
              <w:ind w:left="1612"/>
              <w:spacing w:after="0"/>
              <w:rPr>
                <w:sz w:val="20"/>
                <w:szCs w:val="20"/>
                <w:color w:val="auto"/>
              </w:rPr>
            </w:pPr>
            <w:r>
              <w:rPr>
                <w:rFonts w:ascii="Times New Roman" w:cs="Times New Roman" w:eastAsia="Times New Roman" w:hAnsi="Times New Roman"/>
                <w:sz w:val="18"/>
                <w:szCs w:val="18"/>
                <w:b w:val="1"/>
                <w:bCs w:val="1"/>
                <w:color w:val="231F20"/>
                <w:w w:val="96"/>
              </w:rPr>
              <w:t>CONDENSED CONSOLIDATED STATEMENTS OF CASH FLOWS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60" w:type="dxa"/>
            <w:vAlign w:val="bottom"/>
          </w:tcPr>
          <w:p>
            <w:pPr>
              <w:jc w:val="center"/>
              <w:ind w:left="1872"/>
              <w:spacing w:after="0"/>
              <w:rPr>
                <w:sz w:val="20"/>
                <w:szCs w:val="20"/>
                <w:color w:val="auto"/>
              </w:rPr>
            </w:pPr>
            <w:r>
              <w:rPr>
                <w:rFonts w:ascii="Times New Roman" w:cs="Times New Roman" w:eastAsia="Times New Roman" w:hAnsi="Times New Roman"/>
                <w:sz w:val="18"/>
                <w:szCs w:val="18"/>
                <w:b w:val="1"/>
                <w:bCs w:val="1"/>
                <w:color w:val="231F20"/>
                <w:w w:val="97"/>
              </w:rPr>
              <w:t>(US Dollars in thousands)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60" w:type="dxa"/>
            <w:vAlign w:val="bottom"/>
          </w:tcPr>
          <w:p>
            <w:pPr>
              <w:jc w:val="center"/>
              <w:ind w:left="1872"/>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3"/>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67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7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flows from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(28,029)</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(53,098)</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Adjustments to reconcile net loss to cash and cash equivalents used in operating 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Depreciation and amortization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5,312</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Amortization of debt issuance costs and debt discount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4,294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Write-off of assets from clinical trials segment</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2,398</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Share-based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4,104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3,234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Change in fair value of liability classified warrants and conversion option derivative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13,519</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Deferred taxes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Loss on debt extinguishment</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11,561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2,881</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Bad debt expense</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231F20"/>
              </w:rPr>
              <w:t>Loss on disposal of property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231F20"/>
              </w:rPr>
              <w:t>Changes in operating assets and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231F20"/>
              </w:rPr>
              <w:t>Accounts receivable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(12,949)</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Other receivables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231F20"/>
              </w:rPr>
              <w:t>Inventories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(19,756)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(8,843)</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Prepaid expenses and other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1,803</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231F20"/>
              </w:rPr>
              <w:t>Other assets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Accounts payable</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39,252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11,929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231F20"/>
              </w:rPr>
              <w:t>Change in operating leases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(274)</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231F20"/>
              </w:rPr>
              <w:t>Accrued expenses and other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9,492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2,389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231F20"/>
              </w:rPr>
              <w:t>Other non-current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(95)</w:t>
            </w:r>
          </w:p>
        </w:tc>
        <w:tc>
          <w:tcPr>
            <w:tcW w:w="0" w:type="dxa"/>
            <w:vAlign w:val="bottom"/>
          </w:tcPr>
          <w:p>
            <w:pPr>
              <w:spacing w:after="0"/>
              <w:rPr>
                <w:sz w:val="1"/>
                <w:szCs w:val="1"/>
                <w:color w:val="auto"/>
              </w:rPr>
            </w:pPr>
          </w:p>
        </w:tc>
      </w:tr>
      <w:tr>
        <w:trPr>
          <w:trHeight w:val="22"/>
        </w:trPr>
        <w:tc>
          <w:tcPr>
            <w:tcW w:w="8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7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cash and cash equivalents provided by (used in) operating activities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19,867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(27,820)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Cash flows from investing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Purchases of property and equipment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(3,212)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(2,140)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Proceeds from asset disposition</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w:t>
            </w:r>
          </w:p>
        </w:tc>
        <w:tc>
          <w:tcPr>
            <w:tcW w:w="0" w:type="dxa"/>
            <w:vAlign w:val="bottom"/>
          </w:tcPr>
          <w:p>
            <w:pPr>
              <w:spacing w:after="0"/>
              <w:rPr>
                <w:sz w:val="1"/>
                <w:szCs w:val="1"/>
                <w:color w:val="auto"/>
              </w:rPr>
            </w:pPr>
          </w:p>
        </w:tc>
      </w:tr>
      <w:tr>
        <w:trPr>
          <w:trHeight w:val="22"/>
        </w:trPr>
        <w:tc>
          <w:tcPr>
            <w:tcW w:w="8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7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and cash equivalents used in investing activities</w:t>
            </w:r>
          </w:p>
        </w:tc>
        <w:tc>
          <w:tcPr>
            <w:tcW w:w="26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(3,212)</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(2,014)</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Cash flows from financing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Proceeds from private placement, net of offering costs</w:t>
            </w:r>
          </w:p>
        </w:tc>
        <w:tc>
          <w:tcPr>
            <w:tcW w:w="2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15,359</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Proceeds from at-the-market offering, net of offering costs</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9,952</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Proceeds from employee stock purchase plan</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Advances from asset-based revolving facility</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Proceeds from issuance of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75,000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Transactions costs related to issuance of long-term debt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Transactions costs related to issuance of asset-based revolving facility</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(778)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Payments made for financing of insurance payments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(691)</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Principal payments on long-term debt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(85,889)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(20,000)</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Exit fee and make-whole paid on debt extinguishment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Principal payments on financing leases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(28)</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Common stock issued for warrants exercised</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385</w:t>
            </w:r>
          </w:p>
        </w:tc>
        <w:tc>
          <w:tcPr>
            <w:tcW w:w="0" w:type="dxa"/>
            <w:vAlign w:val="bottom"/>
          </w:tcPr>
          <w:p>
            <w:pPr>
              <w:spacing w:after="0"/>
              <w:rPr>
                <w:sz w:val="1"/>
                <w:szCs w:val="1"/>
                <w:color w:val="auto"/>
              </w:rPr>
            </w:pPr>
          </w:p>
        </w:tc>
      </w:tr>
      <w:tr>
        <w:trPr>
          <w:trHeight w:val="22"/>
        </w:trPr>
        <w:tc>
          <w:tcPr>
            <w:tcW w:w="60" w:type="dxa"/>
            <w:vAlign w:val="bottom"/>
          </w:tcPr>
          <w:p>
            <w:pPr>
              <w:spacing w:after="0" w:line="20" w:lineRule="exact"/>
              <w:rPr>
                <w:sz w:val="1"/>
                <w:szCs w:val="1"/>
                <w:color w:val="auto"/>
              </w:rPr>
            </w:pPr>
          </w:p>
        </w:tc>
        <w:tc>
          <w:tcPr>
            <w:tcW w:w="7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0" w:type="dxa"/>
            <w:vAlign w:val="bottom"/>
          </w:tcPr>
          <w:p>
            <w:pPr>
              <w:spacing w:after="0"/>
              <w:rPr>
                <w:sz w:val="21"/>
                <w:szCs w:val="21"/>
                <w:color w:val="auto"/>
              </w:rPr>
            </w:pPr>
          </w:p>
        </w:tc>
        <w:tc>
          <w:tcPr>
            <w:tcW w:w="79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Common stock issued for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2,695</w:t>
            </w:r>
          </w:p>
        </w:tc>
        <w:tc>
          <w:tcPr>
            <w:tcW w:w="0" w:type="dxa"/>
            <w:vAlign w:val="bottom"/>
          </w:tcPr>
          <w:p>
            <w:pPr>
              <w:spacing w:after="0"/>
              <w:rPr>
                <w:sz w:val="1"/>
                <w:szCs w:val="1"/>
                <w:color w:val="auto"/>
              </w:rPr>
            </w:pPr>
          </w:p>
        </w:tc>
      </w:tr>
      <w:tr>
        <w:trPr>
          <w:trHeight w:val="222"/>
        </w:trPr>
        <w:tc>
          <w:tcPr>
            <w:tcW w:w="8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231F20"/>
              </w:rPr>
              <w:t>Net cash and cash equivalents provided by (used in) financing activities</w:t>
            </w: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(13,325)</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7,823</w:t>
            </w:r>
          </w:p>
        </w:tc>
        <w:tc>
          <w:tcPr>
            <w:tcW w:w="0" w:type="dxa"/>
            <w:vAlign w:val="bottom"/>
          </w:tcPr>
          <w:p>
            <w:pPr>
              <w:spacing w:after="0"/>
              <w:rPr>
                <w:sz w:val="1"/>
                <w:szCs w:val="1"/>
                <w:color w:val="auto"/>
              </w:rPr>
            </w:pPr>
          </w:p>
        </w:tc>
      </w:tr>
      <w:tr>
        <w:trPr>
          <w:trHeight w:val="22"/>
        </w:trPr>
        <w:tc>
          <w:tcPr>
            <w:tcW w:w="8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7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increase (decrease) in cash and cash equivalents</w:t>
            </w:r>
          </w:p>
        </w:tc>
        <w:tc>
          <w:tcPr>
            <w:tcW w:w="260" w:type="dxa"/>
            <w:vAlign w:val="bottom"/>
            <w:tcBorders>
              <w:top w:val="single" w:sz="8" w:color="auto"/>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(22,011)</w:t>
            </w: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Cash and cash equivalents at beginning of period</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49,669</w:t>
            </w:r>
          </w:p>
        </w:tc>
        <w:tc>
          <w:tcPr>
            <w:tcW w:w="0" w:type="dxa"/>
            <w:vAlign w:val="bottom"/>
          </w:tcPr>
          <w:p>
            <w:pPr>
              <w:spacing w:after="0"/>
              <w:rPr>
                <w:sz w:val="1"/>
                <w:szCs w:val="1"/>
                <w:color w:val="auto"/>
              </w:rPr>
            </w:pPr>
          </w:p>
        </w:tc>
      </w:tr>
      <w:tr>
        <w:trPr>
          <w:trHeight w:val="20"/>
        </w:trPr>
        <w:tc>
          <w:tcPr>
            <w:tcW w:w="80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0"/>
                <w:szCs w:val="20"/>
                <w:color w:val="auto"/>
              </w:rPr>
            </w:pPr>
          </w:p>
        </w:tc>
        <w:tc>
          <w:tcPr>
            <w:tcW w:w="7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Cash and cash equivalents at end of period</w:t>
            </w: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27,658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96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231F20"/>
              </w:rPr>
              <w:t>Supplemental disclosure of 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 w:type="dxa"/>
            <w:vAlign w:val="bottom"/>
          </w:tcPr>
          <w:p>
            <w:pPr>
              <w:spacing w:after="0"/>
              <w:rPr>
                <w:sz w:val="14"/>
                <w:szCs w:val="14"/>
                <w:color w:val="auto"/>
              </w:rPr>
            </w:pPr>
          </w:p>
        </w:tc>
        <w:tc>
          <w:tcPr>
            <w:tcW w:w="7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Right-of-use assets in connection with operating lease modifications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1,372</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31F20"/>
              </w:rPr>
              <w:t>Proceeds from at the market offering in other current assets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1,348</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7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Principal exchange of convertible note for preferred stock</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4,111</w:t>
            </w: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7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31F20"/>
              </w:rPr>
              <w:t>Purchases of property and equipment included in accounts payable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231F20"/>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697230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1"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18"/>
        </w:trPr>
        <w:tc>
          <w:tcPr>
            <w:tcW w:w="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6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231F20"/>
              </w:rPr>
              <w:t>STARLING ONCOLOGY, INC.</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b w:val="1"/>
                <w:bCs w:val="1"/>
                <w:color w:val="231F20"/>
                <w:w w:val="96"/>
              </w:rPr>
              <w:t>CONDENSED CONSOLIDATED STATEMENTS OF CASH FLOWS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12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b w:val="1"/>
                <w:bCs w:val="1"/>
                <w:color w:val="231F20"/>
                <w:w w:val="97"/>
              </w:rPr>
              <w:t>(US Dollars in thousands)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1"/>
        </w:trPr>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12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b w:val="1"/>
                <w:bCs w:val="1"/>
                <w:color w:val="231F20"/>
                <w:w w:val="98"/>
              </w:rPr>
              <w:t>(Unaudited)</w:t>
            </w: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83"/>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w:t>
            </w:r>
          </w:p>
        </w:tc>
      </w:tr>
      <w:tr>
        <w:trPr>
          <w:trHeight w:val="244"/>
        </w:trPr>
        <w:tc>
          <w:tcPr>
            <w:tcW w:w="60" w:type="dxa"/>
            <w:vAlign w:val="bottom"/>
          </w:tcPr>
          <w:p>
            <w:pPr>
              <w:spacing w:after="0"/>
              <w:rPr>
                <w:sz w:val="21"/>
                <w:szCs w:val="21"/>
                <w:color w:val="auto"/>
              </w:rPr>
            </w:pPr>
          </w:p>
        </w:tc>
        <w:tc>
          <w:tcPr>
            <w:tcW w:w="1200" w:type="dxa"/>
            <w:vAlign w:val="bottom"/>
            <w:tcBorders>
              <w:bottom w:val="single" w:sz="8" w:color="CCEEFF"/>
            </w:tcBorders>
          </w:tcPr>
          <w:p>
            <w:pPr>
              <w:spacing w:after="0"/>
              <w:rPr>
                <w:sz w:val="21"/>
                <w:szCs w:val="21"/>
                <w:color w:val="auto"/>
              </w:rPr>
            </w:pPr>
          </w:p>
        </w:tc>
        <w:tc>
          <w:tcPr>
            <w:tcW w:w="900" w:type="dxa"/>
            <w:vAlign w:val="bottom"/>
            <w:tcBorders>
              <w:bottom w:val="single" w:sz="8" w:color="CCEEFF"/>
            </w:tcBorders>
          </w:tcPr>
          <w:p>
            <w:pPr>
              <w:spacing w:after="0"/>
              <w:rPr>
                <w:sz w:val="21"/>
                <w:szCs w:val="21"/>
                <w:color w:val="auto"/>
              </w:rPr>
            </w:pPr>
          </w:p>
        </w:tc>
        <w:tc>
          <w:tcPr>
            <w:tcW w:w="58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1"/>
        </w:trPr>
        <w:tc>
          <w:tcPr>
            <w:tcW w:w="60" w:type="dxa"/>
            <w:vAlign w:val="bottom"/>
          </w:tcPr>
          <w:p>
            <w:pPr>
              <w:spacing w:after="0"/>
              <w:rPr>
                <w:sz w:val="18"/>
                <w:szCs w:val="18"/>
                <w:color w:val="auto"/>
              </w:rPr>
            </w:pPr>
          </w:p>
        </w:tc>
        <w:tc>
          <w:tcPr>
            <w:tcW w:w="79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Supplemental disclosure of cash flow information:</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231F20"/>
              </w:rPr>
              <w:t>Cash paid for:</w:t>
            </w:r>
          </w:p>
        </w:tc>
        <w:tc>
          <w:tcPr>
            <w:tcW w:w="5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4"/>
        </w:trPr>
        <w:tc>
          <w:tcPr>
            <w:tcW w:w="60" w:type="dxa"/>
            <w:vAlign w:val="bottom"/>
          </w:tcPr>
          <w:p>
            <w:pPr>
              <w:spacing w:after="0"/>
              <w:rPr>
                <w:sz w:val="19"/>
                <w:szCs w:val="19"/>
                <w:color w:val="auto"/>
              </w:rPr>
            </w:pPr>
          </w:p>
        </w:tc>
        <w:tc>
          <w:tcPr>
            <w:tcW w:w="21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231F20"/>
              </w:rPr>
              <w:t>Income taxes</w:t>
            </w:r>
          </w:p>
        </w:tc>
        <w:tc>
          <w:tcPr>
            <w:tcW w:w="6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231F20"/>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29"/>
        </w:trPr>
        <w:tc>
          <w:tcPr>
            <w:tcW w:w="60" w:type="dxa"/>
            <w:vAlign w:val="bottom"/>
          </w:tcPr>
          <w:p>
            <w:pPr>
              <w:spacing w:after="0"/>
              <w:rPr>
                <w:sz w:val="19"/>
                <w:szCs w:val="19"/>
                <w:color w:val="auto"/>
              </w:rPr>
            </w:pPr>
          </w:p>
        </w:tc>
        <w:tc>
          <w:tcPr>
            <w:tcW w:w="2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231F20"/>
              </w:rPr>
              <w:t>Interest</w:t>
            </w:r>
          </w:p>
        </w:tc>
        <w:tc>
          <w:tcPr>
            <w:tcW w:w="6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3,568</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r>
    </w:tbl>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231F20"/>
        </w:rPr>
        <w:t>See accompanying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546735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91" w:right="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231F20"/>
        </w:rPr>
        <w:t>STARLING ONCOLOGY, INC.</w:t>
      </w:r>
    </w:p>
    <w:p>
      <w:pPr>
        <w:spacing w:after="0" w:line="2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231F20"/>
        </w:rPr>
        <w:t>NOTES TO CONDENSED CONSOLIDATED FINANCIAL STATEMENTS (UNAUDITED)</w:t>
      </w:r>
    </w:p>
    <w:p>
      <w:pPr>
        <w:spacing w:after="0" w:line="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231F20"/>
        </w:rPr>
        <w:t xml:space="preserve">As of September 30, 2026 and December 31, 2025, and for the three and nine </w:t>
      </w:r>
      <w:r>
        <w:rPr>
          <w:rFonts w:ascii="Times New Roman" w:cs="Times New Roman" w:eastAsia="Times New Roman" w:hAnsi="Times New Roman"/>
          <w:sz w:val="18"/>
          <w:szCs w:val="18"/>
          <w:b w:val="1"/>
          <w:bCs w:val="1"/>
          <w:color w:val="000000"/>
        </w:rPr>
        <w:t>months ended</w:t>
      </w:r>
      <w:r>
        <w:rPr>
          <w:rFonts w:ascii="Times New Roman" w:cs="Times New Roman" w:eastAsia="Times New Roman" w:hAnsi="Times New Roman"/>
          <w:sz w:val="18"/>
          <w:szCs w:val="18"/>
          <w:b w:val="1"/>
          <w:bCs w:val="1"/>
          <w:color w:val="231F20"/>
        </w:rPr>
        <w:t xml:space="preserve"> September 30, 2026 and 2025</w:t>
      </w:r>
    </w:p>
    <w:p>
      <w:pPr>
        <w:spacing w:after="0" w:line="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231F20"/>
        </w:rPr>
        <w:t>(US Dollars in thousands, except share data and unless otherwise indicated)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 Description of the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the Business</w:t>
      </w:r>
    </w:p>
    <w:p>
      <w:pPr>
        <w:spacing w:after="0" w:line="165" w:lineRule="exact"/>
        <w:rPr>
          <w:sz w:val="20"/>
          <w:szCs w:val="20"/>
          <w:color w:val="auto"/>
        </w:rPr>
      </w:pPr>
    </w:p>
    <w:p>
      <w:pPr>
        <w:jc w:val="both"/>
        <w:ind w:firstLine="317"/>
        <w:spacing w:after="0" w:line="242" w:lineRule="auto"/>
        <w:rPr>
          <w:sz w:val="20"/>
          <w:szCs w:val="20"/>
          <w:color w:val="auto"/>
        </w:rPr>
      </w:pPr>
      <w:r>
        <w:rPr>
          <w:rFonts w:ascii="Times New Roman" w:cs="Times New Roman" w:eastAsia="Times New Roman" w:hAnsi="Times New Roman"/>
          <w:sz w:val="18"/>
          <w:szCs w:val="18"/>
          <w:color w:val="231F20"/>
        </w:rPr>
        <w:t>On August 3, 2026, The Oncology Institute, Inc. changed its corporate name to "Starling Oncology, Inc." (“Starling”). Unless the context dictates otherwise, references in these notes to the financial statements, the “Company,” “we,” “us,” “our,” and similar words are references to Starling and its consolidated subsidiaries and affiliated entities, as appropriate, including its consolidated variable interest entities (“VIEs”).</w:t>
      </w:r>
    </w:p>
    <w:p>
      <w:pPr>
        <w:spacing w:after="0" w:line="140"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7"/>
          <w:szCs w:val="17"/>
          <w:color w:val="auto"/>
        </w:rPr>
        <w:t>Through wholly-owned subsidiaries and affiliated entities, Starling operates combined community clinics and infusion suites staffed with providers who administer latest-generation cancer treatments including chemotherapy, immunotherapy, oncolytics, and radiation oncology. Additionally, Starling provides coordinated case management, drug formulary management, and fully-delegated networks of care providers, all of which we use to drive improved treatment outcomes at an affordable cost to our patients and payors. Additionally, Starling operates a specialty pharmacy that includes both in-office and mail-order dispensing for complementary oral and self-injectable medications taken by our patients concurrent with their in-office cancer therapies.</w:t>
      </w:r>
    </w:p>
    <w:p>
      <w:pPr>
        <w:spacing w:after="0" w:line="145"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000000"/>
        </w:rPr>
        <w:t>n March 31, 2025, the Company entered into a Research Services Agreement ("RSA") with Helios CR, Inc. ("Helios"), effective May 5, 2025, pursuant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which Helios operates our Clinical Trials &amp; other segment under a profit sharing arrangement with the Company. As part of the RSA, there is a Transition Services Agreement, pursuant to which certain administrative and professional services are provided by Helios for a certain period of time. Additionally, the Company pays a management fee to Helios on a periodic basis for certain shared services. The Company recognized a $2,398 loss due to the write-off of the segment's net assets for the year ended December 31, 2025.</w:t>
      </w:r>
    </w:p>
    <w:p>
      <w:pPr>
        <w:spacing w:after="0" w:line="146"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 xml:space="preserve">The Company has 121 oncologists and mid-level professionals across 67 clinics located within five states: California, Florida, Arizona, Oregon and Nevada. </w:t>
      </w:r>
      <w:r>
        <w:rPr>
          <w:rFonts w:ascii="Times New Roman" w:cs="Times New Roman" w:eastAsia="Times New Roman" w:hAnsi="Times New Roman"/>
          <w:sz w:val="18"/>
          <w:szCs w:val="18"/>
          <w:color w:val="000000"/>
        </w:rPr>
        <w:t>Starling Oncology CA, a Professional Corporation ("Starling CA"), one of the Starling professional corporations (each a "Starling PC"),</w:t>
      </w:r>
      <w:r>
        <w:rPr>
          <w:rFonts w:ascii="Times New Roman" w:cs="Times New Roman" w:eastAsia="Times New Roman" w:hAnsi="Times New Roman"/>
          <w:sz w:val="18"/>
          <w:szCs w:val="18"/>
          <w:color w:val="231F20"/>
        </w:rPr>
        <w:t xml:space="preserve"> is comprised of the clinics located in California, Nevada, and Arizona. The Company has contractual relationships with multiple payors, serving Medicare, including Medicare Advantage, Medi-Cal, and commercial patients.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2. Summary of Significant Accounting Policies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178" w:lineRule="exact"/>
        <w:rPr>
          <w:sz w:val="20"/>
          <w:szCs w:val="20"/>
          <w:color w:val="auto"/>
        </w:rPr>
      </w:pPr>
    </w:p>
    <w:p>
      <w:pPr>
        <w:jc w:val="both"/>
        <w:ind w:firstLine="317"/>
        <w:spacing w:after="0" w:line="248" w:lineRule="auto"/>
        <w:rPr>
          <w:sz w:val="20"/>
          <w:szCs w:val="20"/>
          <w:color w:val="auto"/>
        </w:rPr>
      </w:pPr>
      <w:r>
        <w:rPr>
          <w:rFonts w:ascii="Times New Roman" w:cs="Times New Roman" w:eastAsia="Times New Roman" w:hAnsi="Times New Roman"/>
          <w:sz w:val="18"/>
          <w:szCs w:val="18"/>
          <w:color w:val="231F20"/>
        </w:rPr>
        <w:t>The accompanying interim condensed consolidated financial statements are unaudited and have been prepared in accordance with Article 10 of Regulation S-X issued by the U.S. Securities and Exchange Commission ("SEC"). Accordingly, they do not include all of the information and note disclosures required by U.S. generally accepted accounting principles ("GAAP") for complete consolidated financial statements. However, the Company believes that the disclosures are adequate to ensure the information is not misleading. In the opinion of management, all adjustments (of normal and recurring nature) considered necessary for fair presentation have been reflected in these interim statements. As such, the information included in the accompanying unaudited interim condensed consolidated financial statements should be read in conjunction with the Company's audited consolidated financial statements and notes as of and for the year ended December 31, 2025, in the Company's Annual Report on Form 10-K filed with the SEC on March 12, 2026. The financial results included in this Form 10-Q are not necessarily indicative of annual year-end financial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78" w:lineRule="exact"/>
        <w:rPr>
          <w:sz w:val="20"/>
          <w:szCs w:val="20"/>
          <w:color w:val="auto"/>
        </w:rPr>
      </w:pPr>
    </w:p>
    <w:p>
      <w:pPr>
        <w:jc w:val="both"/>
        <w:ind w:firstLine="351"/>
        <w:spacing w:after="0" w:line="253" w:lineRule="auto"/>
        <w:rPr>
          <w:sz w:val="20"/>
          <w:szCs w:val="20"/>
          <w:color w:val="auto"/>
        </w:rPr>
      </w:pPr>
      <w:r>
        <w:rPr>
          <w:rFonts w:ascii="Times New Roman" w:cs="Times New Roman" w:eastAsia="Times New Roman" w:hAnsi="Times New Roman"/>
          <w:sz w:val="18"/>
          <w:szCs w:val="18"/>
          <w:color w:val="231F20"/>
        </w:rPr>
        <w:t>The accompanying condensed consolidated financial statements include the accounts of Starling, its subsidiaries, all of which are controlled by Starling through majority voting control, and variable interest entities (“VIEs”) for which Starling is the primary beneficiary. The Company consolidates entities in which it has a controlling financial interest based on either the variable interest entity or voting interest model. All significant intercompany balances and transactions have been eliminated in consolidation.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665480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Company consolidates entities for which it has a variable interest and is determined to be the primary beneficiary. Revenues, expenses, and net income (loss) from these subsidiaries are included in the consolidated amounts as presented on the Condensed Consolidated Statements of Operations.</w:t>
      </w:r>
    </w:p>
    <w:p>
      <w:pPr>
        <w:spacing w:after="0" w:line="128"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 xml:space="preserve">The Company holds, as a result of entering into master services agreements ("MSAs"), variable interests in Starling PCs, which it cannot legally own. As of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Starling held variable interests in Starling CA, Starling Oncology FL, LLC, a Professional Corporation ("Starling FL"), Starling Oncology OR, a Professional Corporation ("Starling OR"), and Starling Oncology TX, a Professional Corporation ("Starling TX"), all of which are VIEs. The Company is the primary beneficiary of the Starling PCs and thus, consolidates the Starling PCs in its financial statements. As discussed in Note 16, the noncontrolling shareholders hold nominal interests in the VIEs and do not participate in the income or loss of the VIEs.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w:t>
      </w:r>
      <w:r>
        <w:rPr>
          <w:rFonts w:ascii="Times New Roman" w:cs="Times New Roman" w:eastAsia="Times New Roman" w:hAnsi="Times New Roman"/>
          <w:sz w:val="18"/>
          <w:szCs w:val="18"/>
          <w:color w:val="231F20"/>
        </w:rPr>
        <w:t>companying financial statements have been prepared on a going concern basis of accounting, which contemplates continuity of operations, realization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assets and liabilities and commitments in the normal course of business. In connection with the preparation of the condensed consolidated financial statements as of September 30, 2026, the Company conducted an evaluation as to whether there were conditions and events, considered in the aggregate, which raised substantial doubt as to its ability to continue as a going concern within one year after the date of the issuance of such financial statements. The Company had cash and cash equivalents of $36,895 and an accumulated deficit of $299,448 at September 30, 2026, and a net loss of $28,029 and net cash provided by operations of $19,867 for the nine months ended September 30, 2026.</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The Company has concluded that it will have sufficient liquidity to fund its operations for at least one year from the date these consolidated financial statements are issued. Although the Company currently expects its sources of capital to be sufficient to meet its near-term liquidity needs, there can be no assurance that such sources will be sufficient to satisfy its liquidity requirements in the future. If the Company cannot generate or obtain needed funds, it might be forced to make substantial reductions in its operating and capital expenses or pursue restructuring plans, which could adversely affect its business operations and ability to execute its current business strategy.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Segment Reporting</w:t>
      </w:r>
    </w:p>
    <w:p>
      <w:pPr>
        <w:spacing w:after="0" w:line="176" w:lineRule="exact"/>
        <w:rPr>
          <w:sz w:val="20"/>
          <w:szCs w:val="20"/>
          <w:color w:val="auto"/>
        </w:rPr>
      </w:pPr>
    </w:p>
    <w:p>
      <w:pPr>
        <w:jc w:val="both"/>
        <w:ind w:firstLine="317"/>
        <w:spacing w:after="0" w:line="254" w:lineRule="auto"/>
        <w:rPr>
          <w:sz w:val="20"/>
          <w:szCs w:val="20"/>
          <w:color w:val="auto"/>
        </w:rPr>
      </w:pPr>
      <w:r>
        <w:rPr>
          <w:rFonts w:ascii="Times New Roman" w:cs="Times New Roman" w:eastAsia="Times New Roman" w:hAnsi="Times New Roman"/>
          <w:sz w:val="18"/>
          <w:szCs w:val="18"/>
          <w:color w:val="231F20"/>
        </w:rPr>
        <w:t xml:space="preserve">The Company presents the financial statements by segment in accordance with ASC Topic No. 280, </w:t>
      </w:r>
      <w:r>
        <w:rPr>
          <w:rFonts w:ascii="Times New Roman" w:cs="Times New Roman" w:eastAsia="Times New Roman" w:hAnsi="Times New Roman"/>
          <w:sz w:val="18"/>
          <w:szCs w:val="18"/>
          <w:i w:val="1"/>
          <w:iCs w:val="1"/>
          <w:color w:val="231F20"/>
        </w:rPr>
        <w:t>Segment Reporting</w:t>
      </w:r>
      <w:r>
        <w:rPr>
          <w:rFonts w:ascii="Times New Roman" w:cs="Times New Roman" w:eastAsia="Times New Roman" w:hAnsi="Times New Roman"/>
          <w:sz w:val="18"/>
          <w:szCs w:val="18"/>
          <w:color w:val="231F20"/>
        </w:rPr>
        <w:t xml:space="preserve"> (“ASC 280”) to provide investors with transparency into how the chief operating decision maker (“CODM”) manages the business. The Company determined the CODM is its Chief Executive Officer. The CODM reviews financial information and allocates resources across three operating segments: patient services, specialty pharmacy, and clinical trials &amp; other. Each of the operating segments is also a reporting segment as described further in Note 19.</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91"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231F20"/>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materially differ from those estimates under different assumptions or conditions. Significant items subject to such estimates and assumptions include judgments related to fee-for-service ("FFS") revenue recognition, estimated FFS accounts receivable and the allowance for credit losses, useful lives and recoverability of long-lived assets, recoverability of goodwill, fair value of share-based compensation, fair value of liability classified instruments, and judgments related to deferred income taxes.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Loss Per Share</w:t>
      </w:r>
    </w:p>
    <w:p>
      <w:pPr>
        <w:spacing w:after="0" w:line="178"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231F20"/>
        </w:rPr>
        <w:t>Basic and diluted net loss per share attributable to common stockholders is presented in conformity with the two-class method required for participating securities. The Company's Series A Convertible Preferred Stock is classified as a participating security in accordance with ASC 260. Under the two-class method, basic and diluted net loss per share attributable to common stockholders is computed by dividing the basic and diluted net loss attributable to common stockholders by the basic and diluted weighted-average number of shares of common stock outstanding during the period. Diluted net income per share attributable to common stockholders adjusts basic net income per share for the potentially dilutive impact of stock options, restricted stock units ("RSUs"), Medical RSUs (defined in Note 14), public warrants, private placement warrants, common warrants, pre-funded warrants, warrants issued related to the Senior Secured Convertible Notes, and Senior Secured Convertible Notes (defined in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645795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The treasury stock method is used to calculate the potentially dilutive effect of stock options, RSUs, public warrants, and private placement warrants. The if-converted method is used to calculate the potentially dilutive effect of the Senior Secured Convertible Notes. In both methods, diluted net income (loss) attributable to common stockholders and diluted weighted-average shares outstanding are adjusted to account for the impact of the assumed issuance of potential shares of common stock that are dilutive, subject to dilution sequencing rules. For the periods presented, the public and private placement warrants are out of the money; therefore, the public and private placement warrants are anti-dilutive and excluded from diluted net loss per share.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Measurements</w:t>
      </w:r>
    </w:p>
    <w:p>
      <w:pPr>
        <w:spacing w:after="0" w:line="189"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 xml:space="preserve">The Company accounts for fair value measurements under ASC Topic No. 820, </w:t>
      </w:r>
      <w:r>
        <w:rPr>
          <w:rFonts w:ascii="Times New Roman" w:cs="Times New Roman" w:eastAsia="Times New Roman" w:hAnsi="Times New Roman"/>
          <w:sz w:val="18"/>
          <w:szCs w:val="18"/>
          <w:i w:val="1"/>
          <w:iCs w:val="1"/>
          <w:color w:val="231F20"/>
        </w:rPr>
        <w:t>Fair Value Measurements</w:t>
      </w:r>
      <w:r>
        <w:rPr>
          <w:rFonts w:ascii="Times New Roman" w:cs="Times New Roman" w:eastAsia="Times New Roman" w:hAnsi="Times New Roman"/>
          <w:sz w:val="18"/>
          <w:szCs w:val="18"/>
          <w:color w:val="231F20"/>
        </w:rPr>
        <w:t xml:space="preserve"> (“ASC 820”). The Company uses valuation approaches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(see Note 7 for further discussion):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3" w:lineRule="exact"/>
        <w:rPr>
          <w:sz w:val="20"/>
          <w:szCs w:val="20"/>
          <w:color w:val="auto"/>
        </w:rPr>
      </w:pPr>
    </w:p>
    <w:p>
      <w:pPr>
        <w:ind w:left="640" w:right="240" w:hanging="633"/>
        <w:spacing w:after="0" w:line="270"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15" w:lineRule="exact"/>
        <w:rPr>
          <w:sz w:val="20"/>
          <w:szCs w:val="20"/>
          <w:color w:val="auto"/>
        </w:rPr>
      </w:pPr>
    </w:p>
    <w:p>
      <w:pPr>
        <w:jc w:val="both"/>
        <w:ind w:left="640" w:hanging="633"/>
        <w:spacing w:after="0" w:line="270" w:lineRule="auto"/>
        <w:rPr>
          <w:sz w:val="20"/>
          <w:szCs w:val="20"/>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measurement date.</w:t>
      </w:r>
    </w:p>
    <w:p>
      <w:pPr>
        <w:spacing w:after="0" w:line="115" w:lineRule="exact"/>
        <w:rPr>
          <w:sz w:val="20"/>
          <w:szCs w:val="20"/>
          <w:color w:val="auto"/>
        </w:rPr>
      </w:pPr>
    </w:p>
    <w:p>
      <w:pPr>
        <w:jc w:val="both"/>
        <w:ind w:firstLine="317"/>
        <w:spacing w:after="0" w:line="261" w:lineRule="auto"/>
        <w:rPr>
          <w:sz w:val="20"/>
          <w:szCs w:val="20"/>
          <w:color w:val="auto"/>
        </w:rPr>
      </w:pPr>
      <w:r>
        <w:rPr>
          <w:rFonts w:ascii="Times New Roman" w:cs="Times New Roman" w:eastAsia="Times New Roman" w:hAnsi="Times New Roman"/>
          <w:sz w:val="17"/>
          <w:szCs w:val="17"/>
          <w:color w:val="auto"/>
        </w:rPr>
        <w:t xml:space="preserve">The Company's fair value measurement for cash and cash equivalents, </w:t>
      </w:r>
      <w:r>
        <w:rPr>
          <w:rFonts w:ascii="Times New Roman" w:cs="Times New Roman" w:eastAsia="Times New Roman" w:hAnsi="Times New Roman"/>
          <w:sz w:val="17"/>
          <w:szCs w:val="17"/>
          <w:color w:val="231F20"/>
        </w:rPr>
        <w:t>accounts receivable, other receivables, and accounts payable approximates 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 xml:space="preserve">value because of the short maturity and high liquidity of these instruments. </w:t>
      </w:r>
      <w:r>
        <w:rPr>
          <w:rFonts w:ascii="Times New Roman" w:cs="Times New Roman" w:eastAsia="Times New Roman" w:hAnsi="Times New Roman"/>
          <w:sz w:val="17"/>
          <w:szCs w:val="17"/>
          <w:color w:val="000000"/>
        </w:rPr>
        <w:t>Fair value measurement of investment securities available for sale is based upon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quoted prices from active markets, if available (Level 1). If quoted prices are not available, fair values are measured using independent pricing models or other model-based valuation methodologies. Level 2 investment securities include money market securities purchased in the secondary market that use pricing inputs other than quoted prices in active markets and fair value is determined using pricing models or other valuation methodologies such as broker price indications, which are based on quoted prices for identical or similar notes, which are Level 2 input measures. Contingent considerations are valued using a present value factor using credit rating yields which are considered to be a Level 3 fair value measurement. Fair value measurements used for the goodwill and intangible assets </w:t>
      </w:r>
      <w:r>
        <w:rPr>
          <w:rFonts w:ascii="Times New Roman" w:cs="Times New Roman" w:eastAsia="Times New Roman" w:hAnsi="Times New Roman"/>
          <w:sz w:val="17"/>
          <w:szCs w:val="17"/>
          <w:color w:val="231F20"/>
        </w:rPr>
        <w:t>are based on the discounted cash flow method within the income approach and guideline public company method to value the reporting units,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 xml:space="preserve">which is considered to be a Level 3 fair value measurement. </w:t>
      </w:r>
      <w:r>
        <w:rPr>
          <w:rFonts w:ascii="Times New Roman" w:cs="Times New Roman" w:eastAsia="Times New Roman" w:hAnsi="Times New Roman"/>
          <w:sz w:val="17"/>
          <w:szCs w:val="17"/>
          <w:color w:val="000000"/>
        </w:rPr>
        <w:t>The unobservable inputs utilized in determining the fair value of goodwill based on the income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approach primarily include estimated future cash flows, discounted at a rate that approximates the cost of capital of a market participant. Inputs used to calculate the fair value based on the market approach include the revenue and EBITDA multiples based on guidelines for similar publicly traded companies and recent transactions. </w:t>
      </w:r>
      <w:r>
        <w:rPr>
          <w:rFonts w:ascii="Times New Roman" w:cs="Times New Roman" w:eastAsia="Times New Roman" w:hAnsi="Times New Roman"/>
          <w:sz w:val="17"/>
          <w:szCs w:val="17"/>
          <w:color w:val="231F20"/>
        </w:rPr>
        <w:t>Fair value measurements of derivative warrants liability are based on the Black-Scholes Model, which is considered to be Level 3 fair</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value measurements. The primary unobservable input utilized in determining the fair value of the derivative warrants is the expected volatility of the common stock. Fair value measurements of the convertible note warrant and conversion option derivative liabilities are based on the Black-Derman-Toy model implemented in the Binomial Lattice and Black-Scholes Models, which are considered to be Level 3 fair value measurements. The primary unobservable input utilized in determining the fair value of the convertible note warrant and conversion option derivative liabilities is the expected volatility of the common stock. The senior secured convertible note, which is carried at amortized cost, is considered to be a Level 2 fair value measurement due to observable inputs, such as the term matched risk-free rate and the credit spread, which is used to calculate the discount rate as of the valuation date. The senior secured term note, which is carried at amortized cost, is considered to be a Level 2 fair value measurement due to observable inputs, such as the SOFR and the applicable margin.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 xml:space="preserve">Cash primarily consists of deposits with banking institutions. </w:t>
      </w:r>
      <w:r>
        <w:rPr>
          <w:rFonts w:ascii="Times New Roman" w:cs="Times New Roman" w:eastAsia="Times New Roman" w:hAnsi="Times New Roman"/>
          <w:sz w:val="18"/>
          <w:szCs w:val="18"/>
          <w:color w:val="000000"/>
        </w:rPr>
        <w:t>The Company considers all highly liquid investments that are both readily convertible into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cash and mature within three months from the date of purchase to be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Credit Losses</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 xml:space="preserve">The Company’s accounts receivables are recorded and stated at the amount expected to be collected determined by each payor, net of an allowance for credit losses, under ASC Topic No. 310, </w:t>
      </w:r>
      <w:r>
        <w:rPr>
          <w:rFonts w:ascii="Times New Roman" w:cs="Times New Roman" w:eastAsia="Times New Roman" w:hAnsi="Times New Roman"/>
          <w:sz w:val="18"/>
          <w:szCs w:val="18"/>
          <w:i w:val="1"/>
          <w:iCs w:val="1"/>
          <w:color w:val="231F20"/>
        </w:rPr>
        <w:t>Receivables</w:t>
      </w:r>
      <w:r>
        <w:rPr>
          <w:rFonts w:ascii="Times New Roman" w:cs="Times New Roman" w:eastAsia="Times New Roman" w:hAnsi="Times New Roman"/>
          <w:sz w:val="18"/>
          <w:szCs w:val="18"/>
          <w:color w:val="231F20"/>
        </w:rPr>
        <w:t xml:space="preserve"> (“ASC 310”). In accordance with ASC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617220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231F20"/>
        </w:rPr>
        <w:t xml:space="preserve">Topic No. 326, </w:t>
      </w:r>
      <w:r>
        <w:rPr>
          <w:rFonts w:ascii="Times New Roman" w:cs="Times New Roman" w:eastAsia="Times New Roman" w:hAnsi="Times New Roman"/>
          <w:sz w:val="17"/>
          <w:szCs w:val="17"/>
          <w:i w:val="1"/>
          <w:iCs w:val="1"/>
          <w:color w:val="231F20"/>
        </w:rPr>
        <w:t>Financial Instruments — Credit Losses</w:t>
      </w:r>
      <w:r>
        <w:rPr>
          <w:rFonts w:ascii="Times New Roman" w:cs="Times New Roman" w:eastAsia="Times New Roman" w:hAnsi="Times New Roman"/>
          <w:sz w:val="17"/>
          <w:szCs w:val="17"/>
          <w:color w:val="231F20"/>
        </w:rPr>
        <w:t xml:space="preserve"> (“ASC 326”), the Company recognizes credit losses based on a forward-looking current expected credit losses (“CECL”) model. The Company segregates accounts receivables into portfolio segments based on shared risk characteristics, such as line of business and payor type, for evaluation of expected credit losses. The Company makes estimates of expected credit losses based upon its assessment of various factors, including the age of accounts receivable balances, default-based statistics, current economic conditions, reasonable and supportable forecasts of future economic conditions, and other factors that may affect its ability to collect from customers. The allowance for credit losses is developed using a loss rate method and is recognized in the Condensed Consolidated Statement of Operations. The uncollectible accounts receivable are written off on a quarterly basis in the period when collection activities cease due to a final determination that all or a portion of the balance is no longer collectible and if there is no pending litigation activity related to the receivable. There was no allowance for credit losses recorded as of September 30, 2026 and December 31,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6" w:lineRule="exact"/>
        <w:rPr>
          <w:sz w:val="20"/>
          <w:szCs w:val="20"/>
          <w:color w:val="auto"/>
        </w:rPr>
      </w:pPr>
    </w:p>
    <w:p>
      <w:pPr>
        <w:jc w:val="both"/>
        <w:ind w:firstLine="317"/>
        <w:spacing w:after="0" w:line="272" w:lineRule="auto"/>
        <w:rPr>
          <w:sz w:val="20"/>
          <w:szCs w:val="20"/>
          <w:color w:val="auto"/>
        </w:rPr>
      </w:pPr>
      <w:r>
        <w:rPr>
          <w:rFonts w:ascii="Times New Roman" w:cs="Times New Roman" w:eastAsia="Times New Roman" w:hAnsi="Times New Roman"/>
          <w:sz w:val="18"/>
          <w:szCs w:val="18"/>
          <w:color w:val="231F20"/>
        </w:rPr>
        <w:t xml:space="preserve">The Company accounts for goodwill under Accounting Standards Codification Topic No. 350, Intangibles - </w:t>
      </w:r>
      <w:r>
        <w:rPr>
          <w:rFonts w:ascii="Times New Roman" w:cs="Times New Roman" w:eastAsia="Times New Roman" w:hAnsi="Times New Roman"/>
          <w:sz w:val="18"/>
          <w:szCs w:val="18"/>
          <w:i w:val="1"/>
          <w:iCs w:val="1"/>
          <w:color w:val="231F20"/>
        </w:rPr>
        <w:t>Goodwill and Other</w:t>
      </w:r>
      <w:r>
        <w:rPr>
          <w:rFonts w:ascii="Times New Roman" w:cs="Times New Roman" w:eastAsia="Times New Roman" w:hAnsi="Times New Roman"/>
          <w:sz w:val="18"/>
          <w:szCs w:val="18"/>
          <w:color w:val="231F20"/>
        </w:rPr>
        <w:t xml:space="preserve"> (“ASC 350”). Goodwill represents the excess of the aggregate purchase price paid over the fair value of the net assets acquired in the Company's business combinations.</w:t>
      </w:r>
    </w:p>
    <w:p>
      <w:pPr>
        <w:spacing w:after="0" w:line="11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Goodwill is not amortized but is required to be evaluated for impairment at least annually or whenever events or changes in circumstances indicate that the carrying value may not be recoverable. The Company performs its annual testing of impairment for goodwill in the fourth quarter of each year.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132"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Company performed a qualitative assessment as of September 30, 2026 and determined it was not necessary to perform a quantitative goodwill impairment test. The Company determined there was no impairment for the three and nine months ended September 30, 2026.</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7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Company accounts for its Senior Secured Convertible Note and Senior Secured Term Loan, net of debt issuance costs and debt discount. These debt issuance costs and related debt discount are capitalized, netted against the related debt for presentation purposes, and amortized to interest expense over the terms of the related debt using the effective interest method.</w:t>
      </w:r>
    </w:p>
    <w:p>
      <w:pPr>
        <w:spacing w:after="0" w:line="141"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Costs incurred to enter into the Company’s asset-backed revolving credit facility are paid in exchange for access to capital, regardless of whether any amounts are drawn. Accordingly, these costs are recorded as an asset within other assets on the condensed consolidated balance sheets, rather than as a deduction from the carrying amount of debt. The costs are amortized on a straight-line basis to interest expense over the contractual term of the facility.</w:t>
      </w:r>
    </w:p>
    <w:p>
      <w:pPr>
        <w:spacing w:after="0" w:line="152"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8"/>
          <w:szCs w:val="18"/>
          <w:color w:val="231F20"/>
        </w:rPr>
        <w:t xml:space="preserve">The Company accounts for bifurcated, debt-classified embedded features separately as derivative liabilities pursuant to ASC Topic No. 815, </w:t>
      </w:r>
      <w:r>
        <w:rPr>
          <w:rFonts w:ascii="Times New Roman" w:cs="Times New Roman" w:eastAsia="Times New Roman" w:hAnsi="Times New Roman"/>
          <w:sz w:val="18"/>
          <w:szCs w:val="18"/>
          <w:i w:val="1"/>
          <w:iCs w:val="1"/>
          <w:color w:val="231F20"/>
        </w:rPr>
        <w:t>Derivatives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and Hedging </w:t>
      </w:r>
      <w:r>
        <w:rPr>
          <w:rFonts w:ascii="Times New Roman" w:cs="Times New Roman" w:eastAsia="Times New Roman" w:hAnsi="Times New Roman"/>
          <w:sz w:val="18"/>
          <w:szCs w:val="18"/>
          <w:color w:val="231F20"/>
        </w:rPr>
        <w:t>("ASC 815"). Bifurcated, debt-classified embedded features are recorded at fair value on the Company's balance sheet with subsequent changes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 fair value recorded in the Condensed Consolidated Statement of Operations each reporting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Investments in Marketable Securities</w:t>
      </w:r>
    </w:p>
    <w:p>
      <w:pPr>
        <w:spacing w:after="0" w:line="178"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 xml:space="preserve">The Company's investments in marketable securities are classified as available-for-sale and are carried at fair value. The Company accounts for its investment securities available for sale using the fair value election pursuant to ASC 825, </w:t>
      </w:r>
      <w:r>
        <w:rPr>
          <w:rFonts w:ascii="Times New Roman" w:cs="Times New Roman" w:eastAsia="Times New Roman" w:hAnsi="Times New Roman"/>
          <w:sz w:val="18"/>
          <w:szCs w:val="18"/>
          <w:i w:val="1"/>
          <w:iCs w:val="1"/>
          <w:color w:val="231F20"/>
        </w:rPr>
        <w:t>Financial Instruments</w:t>
      </w:r>
      <w:r>
        <w:rPr>
          <w:rFonts w:ascii="Times New Roman" w:cs="Times New Roman" w:eastAsia="Times New Roman" w:hAnsi="Times New Roman"/>
          <w:sz w:val="18"/>
          <w:szCs w:val="18"/>
          <w:color w:val="231F20"/>
        </w:rPr>
        <w:t xml:space="preserve"> ("ASC 825"), where changes in fair value are recorded in unrealized gains (losses), net on the Company's Condensed Consolidated Statements of Operations. The Company determines the appropriate classification of these investments at the time of purchase and reevaluates such designation at each balance sheet date. The Company’s marketable securities are classified as current assets if the maturity date is less than one year from the balance sheet date.</w:t>
      </w:r>
    </w:p>
    <w:p>
      <w:pPr>
        <w:spacing w:after="0" w:line="159"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Interest income and accretion on marketable securities are included in interest income in the Consolidated Statements of Operations. Realized gains and losses on sales of securities, and other-than-temporary declines in the fair value of marketable securities, if any, are included as a component of other income (expense), net in the Condensed Consolidated Statements of Operations. The cost of securities sold is based on the First In, First Out method.</w:t>
      </w:r>
    </w:p>
    <w:p>
      <w:pPr>
        <w:spacing w:after="0" w:line="141"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At each reporting period, the Company evaluates available-for-sale marketable securities, to the extent the fair value option is not elected, for any credit-related impairment when the fair value of the investment is less than its amortized cost.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625475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231F20"/>
        </w:rPr>
        <w:t xml:space="preserve">Company determines that the decline in fair value is below the carrying value and this decline is other-than-temporary, credit-related impairment is recognized in the Consolidated Statement of Operations in accordance with ASC 320, </w:t>
      </w:r>
      <w:r>
        <w:rPr>
          <w:rFonts w:ascii="Times New Roman" w:cs="Times New Roman" w:eastAsia="Times New Roman" w:hAnsi="Times New Roman"/>
          <w:sz w:val="18"/>
          <w:szCs w:val="18"/>
          <w:i w:val="1"/>
          <w:iCs w:val="1"/>
          <w:color w:val="231F20"/>
        </w:rPr>
        <w:t>Debt Securities</w:t>
      </w:r>
      <w:r>
        <w:rPr>
          <w:rFonts w:ascii="Times New Roman" w:cs="Times New Roman" w:eastAsia="Times New Roman" w:hAnsi="Times New Roman"/>
          <w:sz w:val="18"/>
          <w:szCs w:val="18"/>
          <w:color w:val="231F20"/>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Comprehensive Loss</w:t>
      </w:r>
    </w:p>
    <w:p>
      <w:pPr>
        <w:spacing w:after="0" w:line="21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Comprehensive loss includes net loss to common stockholders as well as other changes in equity that result from transactions and economic events other than those with stockholders. There was no difference between comprehensive loss and net loss to common stockholders for the periods presented.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Standards</w:t>
      </w:r>
    </w:p>
    <w:p>
      <w:pPr>
        <w:spacing w:after="0" w:line="176" w:lineRule="exact"/>
        <w:rPr>
          <w:sz w:val="20"/>
          <w:szCs w:val="20"/>
          <w:color w:val="auto"/>
        </w:rPr>
      </w:pPr>
    </w:p>
    <w:p>
      <w:pPr>
        <w:jc w:val="both"/>
        <w:ind w:firstLine="317"/>
        <w:spacing w:after="0" w:line="232" w:lineRule="auto"/>
        <w:rPr>
          <w:sz w:val="20"/>
          <w:szCs w:val="20"/>
          <w:color w:val="auto"/>
        </w:rPr>
      </w:pPr>
      <w:r>
        <w:rPr>
          <w:rFonts w:ascii="Times New Roman" w:cs="Times New Roman" w:eastAsia="Times New Roman" w:hAnsi="Times New Roman"/>
          <w:sz w:val="18"/>
          <w:szCs w:val="18"/>
          <w:color w:val="auto"/>
        </w:rPr>
        <w:t>In December 2023, the FASB issued ASU 2023-09</w:t>
      </w:r>
      <w:r>
        <w:rPr>
          <w:rFonts w:ascii="Times New Roman" w:cs="Times New Roman" w:eastAsia="Times New Roman" w:hAnsi="Times New Roman"/>
          <w:sz w:val="18"/>
          <w:szCs w:val="18"/>
          <w:i w:val="1"/>
          <w:iCs w:val="1"/>
          <w:color w:val="auto"/>
        </w:rPr>
        <w:t>, Income Taxes (Topic 740): Improvement to Income Tax Disclosures ("ASU 2023-09")</w:t>
      </w:r>
      <w:r>
        <w:rPr>
          <w:rFonts w:ascii="Times New Roman" w:cs="Times New Roman" w:eastAsia="Times New Roman" w:hAnsi="Times New Roman"/>
          <w:sz w:val="18"/>
          <w:szCs w:val="18"/>
          <w:color w:val="auto"/>
        </w:rPr>
        <w:t>. The new standard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this ASU prospectively by providing the revised disclosures for the year ending December 31, 2025 and continuing to provide the pre-ASU disclosures for the prior periods, or may apply the amendments retrospectively by providing the revised disclosures for all periods presented. The Company adopted ASU 2023-09 as of December 31, 2025. The adoption did not have a material impact on the Company's financial statements.</w:t>
      </w:r>
    </w:p>
    <w:p>
      <w:pPr>
        <w:spacing w:after="0" w:line="206" w:lineRule="exact"/>
        <w:rPr>
          <w:sz w:val="20"/>
          <w:szCs w:val="20"/>
          <w:color w:val="auto"/>
        </w:rPr>
      </w:pPr>
    </w:p>
    <w:p>
      <w:pPr>
        <w:jc w:val="both"/>
        <w:ind w:firstLine="317"/>
        <w:spacing w:after="0" w:line="245"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w:t>
      </w:r>
      <w:r>
        <w:rPr>
          <w:rFonts w:ascii="Times New Roman" w:cs="Times New Roman" w:eastAsia="Times New Roman" w:hAnsi="Times New Roman"/>
          <w:sz w:val="17"/>
          <w:szCs w:val="17"/>
          <w:color w:val="auto"/>
        </w:rPr>
        <w:t>.” ASU 2024-03 does not change the expense captions an entity presents on the face of the income statement; rather it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disaggregation of certain expense captions into specified categories in disclosures within the footnotes to the financial statements. ASU 2024-03 requires footnote disclosure about specific expenses to disaggregate, in a tabular presentation, each relevant expense caption on the face of the income statement that includes any of the following natural expenses: (1) purchases of inventory, (2) employee compensation, (3) depreciation, (4) intangible asset amortization and</w:t>
      </w:r>
    </w:p>
    <w:p>
      <w:pPr>
        <w:spacing w:after="0" w:line="1" w:lineRule="exact"/>
        <w:rPr>
          <w:sz w:val="20"/>
          <w:szCs w:val="20"/>
          <w:color w:val="auto"/>
        </w:rPr>
      </w:pPr>
    </w:p>
    <w:p>
      <w:pPr>
        <w:jc w:val="both"/>
        <w:ind w:firstLine="6"/>
        <w:spacing w:after="0" w:line="246" w:lineRule="auto"/>
        <w:tabs>
          <w:tab w:leader="none" w:pos="25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depletion and amortization recognized as part of oil- and gas-production activities or other types of depletion expenses. The tabular disclosure would also include certain other expenses, when applicable. ASU 2024-03 does not change or remove existing expense disclosure requirements; however, it may affect where that information appears in the footnotes to the financial statements. ASU 2024-03 is effective for annual periods beginning after December 15, 2026, and interim reporting periods beginning after December 15, 2027. The requirements will be applied prospectively with the option for retrospective application. Early adoption is permitted. The Company will adopt ASU 2024-03 for its annual period beginning January 1, 2027 and interim periods beginning January 1, 2028. The Company is currently evaluating the disclosure requirements and their effect on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530860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ind w:right="4500"/>
        <w:spacing w:after="0" w:line="452" w:lineRule="auto"/>
        <w:rPr>
          <w:sz w:val="20"/>
          <w:szCs w:val="20"/>
          <w:color w:val="auto"/>
        </w:rPr>
      </w:pPr>
      <w:r>
        <w:rPr>
          <w:rFonts w:ascii="Times New Roman" w:cs="Times New Roman" w:eastAsia="Times New Roman" w:hAnsi="Times New Roman"/>
          <w:sz w:val="18"/>
          <w:szCs w:val="18"/>
          <w:b w:val="1"/>
          <w:bCs w:val="1"/>
          <w:color w:val="231F20"/>
        </w:rPr>
        <w:t>Note 3. Significant Risks and Uncertainties Including Business and Credit Concentrations Credit Risk</w:t>
      </w:r>
    </w:p>
    <w:p>
      <w:pPr>
        <w:spacing w:after="0" w:line="1"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Financial instruments that potentially subject the Company to concentrations of credit risk consist primarily of cash, accounts receivable, and investment securities.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Cash accounts in a financial institution may, at times, exceed the Federal Deposit Insurance Corporation coverage of $250 per account ownership category.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Company has not experienced losses on these accounts, and management believes the Company is not exposed to significant risks on such accounts.</w:t>
      </w:r>
    </w:p>
    <w:p>
      <w:pPr>
        <w:spacing w:after="0" w:line="158"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The Company’s accounts receivable has implicit collection risk. The Company grants credit without collateral to its patients, most of whom are local residents and are insured under third-party payor agreements. The Company believes this risk is partially mitigated by the Company’s establishment of long-term agreements and relationships with third-party payors that provide the Company with insight into historic collectability and improve the collections process.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Concentration Risk</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concentration of net revenue on a percentage basis for major payors for the three and nine months ended September 30, 2026 and 2025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320" w:type="dxa"/>
            <w:vAlign w:val="bottom"/>
            <w:tcBorders>
              <w:bottom w:val="single" w:sz="8" w:color="auto"/>
            </w:tcBorders>
            <w:gridSpan w:val="4"/>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3340" w:type="dxa"/>
            <w:vAlign w:val="bottom"/>
            <w:tcBorders>
              <w:bottom w:val="single" w:sz="8" w:color="auto"/>
            </w:tcBorders>
            <w:gridSpan w:val="3"/>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4"/>
        </w:trPr>
        <w:tc>
          <w:tcPr>
            <w:tcW w:w="54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162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1"/>
                <w:szCs w:val="21"/>
                <w:color w:val="auto"/>
              </w:rPr>
            </w:pPr>
          </w:p>
        </w:tc>
        <w:tc>
          <w:tcPr>
            <w:tcW w:w="1640" w:type="dxa"/>
            <w:vAlign w:val="bottom"/>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Patient Services Net Revenue:</w:t>
            </w:r>
          </w:p>
        </w:tc>
        <w:tc>
          <w:tcPr>
            <w:tcW w:w="110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640" w:type="dxa"/>
            <w:vAlign w:val="bottom"/>
            <w:tcBorders>
              <w:top w:val="single" w:sz="8" w:color="auto"/>
            </w:tcBorders>
            <w:shd w:val="clear" w:color="auto" w:fill="CCEEFF"/>
          </w:tcPr>
          <w:p>
            <w:pPr>
              <w:spacing w:after="0"/>
              <w:rPr>
                <w:sz w:val="20"/>
                <w:szCs w:val="20"/>
                <w:color w:val="auto"/>
              </w:rPr>
            </w:pPr>
          </w:p>
        </w:tc>
      </w:tr>
      <w:tr>
        <w:trPr>
          <w:trHeight w:val="24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Payor 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58"/>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Payor B</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concentration</w:t>
      </w:r>
      <w:r>
        <w:rPr>
          <w:rFonts w:ascii="Times New Roman" w:cs="Times New Roman" w:eastAsia="Times New Roman" w:hAnsi="Times New Roman"/>
          <w:sz w:val="18"/>
          <w:szCs w:val="18"/>
          <w:color w:val="231F20"/>
        </w:rPr>
        <w:t xml:space="preserve"> of gross receivables on a percentage basis for major payors at September 30, 2026 and December 31, 2025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0" w:type="dxa"/>
            <w:vAlign w:val="bottom"/>
          </w:tcPr>
          <w:p>
            <w:pPr>
              <w:spacing w:after="0"/>
              <w:rPr>
                <w:sz w:val="20"/>
                <w:szCs w:val="20"/>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88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8"/>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Gross Receivables of Patient Services Revenue:</w:t>
            </w:r>
          </w:p>
        </w:tc>
        <w:tc>
          <w:tcPr>
            <w:tcW w:w="18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80" w:type="dxa"/>
            <w:vAlign w:val="bottom"/>
            <w:tcBorders>
              <w:top w:val="single" w:sz="8" w:color="auto"/>
            </w:tcBorders>
            <w:shd w:val="clear" w:color="auto" w:fill="CCEEFF"/>
          </w:tcPr>
          <w:p>
            <w:pPr>
              <w:spacing w:after="0"/>
              <w:rPr>
                <w:sz w:val="20"/>
                <w:szCs w:val="20"/>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Payor B</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489"/>
        </w:trPr>
        <w:tc>
          <w:tcPr>
            <w:tcW w:w="740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 xml:space="preserve">All </w:t>
            </w:r>
            <w:r>
              <w:rPr>
                <w:rFonts w:ascii="Times New Roman" w:cs="Times New Roman" w:eastAsia="Times New Roman" w:hAnsi="Times New Roman"/>
                <w:sz w:val="18"/>
                <w:szCs w:val="18"/>
                <w:color w:val="000000"/>
              </w:rPr>
              <w:t>of</w:t>
            </w:r>
            <w:r>
              <w:rPr>
                <w:rFonts w:ascii="Times New Roman" w:cs="Times New Roman" w:eastAsia="Times New Roman" w:hAnsi="Times New Roman"/>
                <w:sz w:val="18"/>
                <w:szCs w:val="18"/>
                <w:color w:val="231F20"/>
              </w:rPr>
              <w:t xml:space="preserve"> the Company’s revenue is generated from customers located in the United States.</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83"/>
        </w:trPr>
        <w:tc>
          <w:tcPr>
            <w:tcW w:w="74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Vendor Concentration Risk</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154"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concentration of cost of sales (drug procurement) on a percentage basis for major vendors for the three and nine months ended September 30, 2026 and 2025 are as follows:</w:t>
      </w:r>
    </w:p>
    <w:p>
      <w:pPr>
        <w:sectPr>
          <w:pgSz w:w="11900" w:h="16838" w:orient="portrait"/>
          <w:cols w:equalWidth="0" w:num="1">
            <w:col w:w="11240"/>
          </w:cols>
          <w:pgMar w:left="320" w:top="110" w:right="339" w:bottom="1440" w:gutter="0" w:footer="0" w:header="0"/>
        </w:sectPr>
      </w:pPr>
    </w:p>
    <w:p>
      <w:pPr>
        <w:spacing w:after="0" w:line="19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2837815</wp:posOffset>
            </wp:positionH>
            <wp:positionV relativeFrom="paragraph">
              <wp:posOffset>31115</wp:posOffset>
            </wp:positionV>
            <wp:extent cx="21043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04390" cy="8255"/>
                    </a:xfrm>
                    <a:prstGeom prst="rect">
                      <a:avLst/>
                    </a:prstGeom>
                    <a:noFill/>
                  </pic:spPr>
                </pic:pic>
              </a:graphicData>
            </a:graphic>
          </wp:anchor>
        </w:drawing>
      </w:r>
    </w:p>
    <w:p>
      <w:pPr>
        <w:spacing w:after="0" w:line="49" w:lineRule="exact"/>
        <w:rPr>
          <w:sz w:val="20"/>
          <w:szCs w:val="20"/>
          <w:color w:val="auto"/>
        </w:rPr>
      </w:pPr>
    </w:p>
    <w:p>
      <w:pPr>
        <w:ind w:left="510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18350" cy="159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8350" cy="159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31115</wp:posOffset>
            </wp:positionV>
            <wp:extent cx="21215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21535" cy="8255"/>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46" w:lineRule="exact"/>
        <w:rPr>
          <w:sz w:val="20"/>
          <w:szCs w:val="20"/>
          <w:color w:val="auto"/>
        </w:rPr>
      </w:pPr>
    </w:p>
    <w:p>
      <w:pPr>
        <w:sectPr>
          <w:pgSz w:w="11900" w:h="16838" w:orient="portrait"/>
          <w:cols w:equalWidth="0" w:num="2">
            <w:col w:w="7520" w:space="720"/>
            <w:col w:w="3000"/>
          </w:cols>
          <w:pgMar w:left="320" w:top="110"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Percentage of Direct Costs: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Vendor A</w:t>
            </w:r>
          </w:p>
        </w:tc>
        <w:tc>
          <w:tcPr>
            <w:tcW w:w="352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94 %</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99 %</w:t>
            </w:r>
          </w:p>
        </w:tc>
        <w:tc>
          <w:tcPr>
            <w:tcW w:w="172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rPr>
              <w:t>93 %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1143"/>
        </w:trPr>
        <w:tc>
          <w:tcPr>
            <w:tcW w:w="32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concentration of gross payables on a percentage basis for major vendors at September 30, 2026 and December 31, 2025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68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8"/>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Gross Payables:</w:t>
            </w:r>
          </w:p>
        </w:tc>
        <w:tc>
          <w:tcPr>
            <w:tcW w:w="17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tcBorders>
            <w:shd w:val="clear" w:color="auto" w:fill="CCEEFF"/>
          </w:tcPr>
          <w:p>
            <w:pPr>
              <w:spacing w:after="0"/>
              <w:rPr>
                <w:sz w:val="20"/>
                <w:szCs w:val="20"/>
                <w:color w:val="auto"/>
              </w:rPr>
            </w:pPr>
          </w:p>
        </w:tc>
      </w:tr>
      <w:tr>
        <w:trPr>
          <w:trHeight w:val="237"/>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Vendor A</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1975"/>
        </w:trPr>
        <w:tc>
          <w:tcPr>
            <w:tcW w:w="77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4. Accounts Receivable</w:t>
      </w:r>
    </w:p>
    <w:p>
      <w:pPr>
        <w:spacing w:after="0" w:line="178" w:lineRule="exact"/>
        <w:rPr>
          <w:sz w:val="20"/>
          <w:szCs w:val="20"/>
          <w:color w:val="auto"/>
        </w:rPr>
      </w:pPr>
    </w:p>
    <w:p>
      <w:pPr>
        <w:ind w:left="40" w:right="100" w:firstLine="317"/>
        <w:spacing w:after="0" w:line="270" w:lineRule="auto"/>
        <w:rPr>
          <w:sz w:val="20"/>
          <w:szCs w:val="20"/>
          <w:color w:val="auto"/>
        </w:rPr>
      </w:pPr>
      <w:r>
        <w:rPr>
          <w:rFonts w:ascii="Times New Roman" w:cs="Times New Roman" w:eastAsia="Times New Roman" w:hAnsi="Times New Roman"/>
          <w:sz w:val="18"/>
          <w:szCs w:val="18"/>
          <w:color w:val="231F20"/>
        </w:rPr>
        <w:t>The Company’s accounts receivable consists primarily of amounts due from third-party payors and patients. See Note 2 for a summary of the Company’s policies relating to accounts receivable and allowance for credit losses.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231F20"/>
              </w:rPr>
              <w:t>Accounts Receivable as of September 30, 2026 and December 31, 2025 consist of the following:</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4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4"/>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drug accounts receivable (Specialty Pharmacy)</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4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Capitated accounts receivable (Patient Services)</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5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FFS accounts receivable, net (Patient Services)</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35,376</w:t>
            </w:r>
          </w:p>
        </w:tc>
      </w:tr>
      <w:tr>
        <w:trPr>
          <w:trHeight w:val="24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trade receivables</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12,952</w:t>
            </w:r>
          </w:p>
        </w:tc>
      </w:tr>
      <w:tr>
        <w:trPr>
          <w:trHeight w:val="2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58,998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There was no allowance for credit losses as of September 30, 2026 and December 31, 2025.</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231F20"/>
        </w:rPr>
        <w:t>As of January 1, 2025, the accounts receivable balance amounted to $48,335.</w:t>
      </w:r>
    </w:p>
    <w:p>
      <w:pPr>
        <w:spacing w:after="0" w:line="189" w:lineRule="exact"/>
        <w:rPr>
          <w:sz w:val="20"/>
          <w:szCs w:val="20"/>
          <w:color w:val="auto"/>
        </w:rPr>
      </w:pPr>
    </w:p>
    <w:p>
      <w:pPr>
        <w:jc w:val="both"/>
        <w:ind w:left="40" w:firstLine="317"/>
        <w:spacing w:after="0" w:line="270" w:lineRule="auto"/>
        <w:rPr>
          <w:sz w:val="20"/>
          <w:szCs w:val="20"/>
          <w:color w:val="auto"/>
        </w:rPr>
      </w:pPr>
      <w:r>
        <w:rPr>
          <w:rFonts w:ascii="Times New Roman" w:cs="Times New Roman" w:eastAsia="Times New Roman" w:hAnsi="Times New Roman"/>
          <w:sz w:val="18"/>
          <w:szCs w:val="18"/>
          <w:color w:val="231F20"/>
        </w:rPr>
        <w:t>During the three and nine months ended September 30, 2026 and 2025, the Company had no net bad debt recoveries and bad debt expense. Credit losses are a result of accounts receivable on completed contracts that were deemed uncollectible during the period.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5. Revenue</w:t>
      </w:r>
    </w:p>
    <w:p>
      <w:pPr>
        <w:spacing w:after="0" w:line="178" w:lineRule="exact"/>
        <w:rPr>
          <w:sz w:val="20"/>
          <w:szCs w:val="20"/>
          <w:color w:val="auto"/>
        </w:rPr>
      </w:pPr>
    </w:p>
    <w:p>
      <w:pPr>
        <w:jc w:val="both"/>
        <w:ind w:left="40" w:firstLine="317"/>
        <w:spacing w:after="0" w:line="257" w:lineRule="auto"/>
        <w:rPr>
          <w:sz w:val="20"/>
          <w:szCs w:val="20"/>
          <w:color w:val="auto"/>
        </w:rPr>
      </w:pPr>
      <w:r>
        <w:rPr>
          <w:rFonts w:ascii="Times New Roman" w:cs="Times New Roman" w:eastAsia="Times New Roman" w:hAnsi="Times New Roman"/>
          <w:sz w:val="18"/>
          <w:szCs w:val="18"/>
          <w:color w:val="231F20"/>
        </w:rPr>
        <w:t>The Company recognizes revenue in accordance with ASC 606 on the basis of its satisfaction of outstanding performance obligations. The Company typically fulfills its performance obligations over time, either over the course of a single treatment (fee-for-service or "FFS"), a month (capitation), or a number of months (clinical research). The Company also has revenue that is satisfied at a point in time (specialty pharmacy).</w:t>
      </w:r>
    </w:p>
    <w:p>
      <w:pPr>
        <w:spacing w:after="0" w:line="1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231F20"/>
        </w:rPr>
        <w:t>Disaggregation of Revenue</w:t>
      </w:r>
    </w:p>
    <w:p>
      <w:pPr>
        <w:spacing w:after="0" w:line="178" w:lineRule="exact"/>
        <w:rPr>
          <w:sz w:val="20"/>
          <w:szCs w:val="20"/>
          <w:color w:val="auto"/>
        </w:rPr>
      </w:pPr>
    </w:p>
    <w:p>
      <w:pPr>
        <w:jc w:val="both"/>
        <w:ind w:left="40" w:firstLine="317"/>
        <w:spacing w:after="0" w:line="270" w:lineRule="auto"/>
        <w:rPr>
          <w:sz w:val="20"/>
          <w:szCs w:val="20"/>
          <w:color w:val="auto"/>
        </w:rPr>
      </w:pPr>
      <w:r>
        <w:rPr>
          <w:rFonts w:ascii="Times New Roman" w:cs="Times New Roman" w:eastAsia="Times New Roman" w:hAnsi="Times New Roman"/>
          <w:sz w:val="18"/>
          <w:szCs w:val="18"/>
          <w:color w:val="231F20"/>
        </w:rPr>
        <w:t>The Company categorizes revenue based on various factors such as the nature of contracts, payors, order to billing arrangements, and cash flows received by the Company,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 services</w:t>
            </w: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4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Capitated revenue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28,714</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20,574</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83,619</w:t>
            </w:r>
          </w:p>
        </w:tc>
        <w:tc>
          <w:tcPr>
            <w:tcW w:w="100" w:type="dxa"/>
            <w:vAlign w:val="bottom"/>
          </w:tcPr>
          <w:p>
            <w:pPr>
              <w:spacing w:after="0"/>
              <w:rPr>
                <w:sz w:val="21"/>
                <w:szCs w:val="21"/>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56,912</w:t>
            </w:r>
          </w:p>
        </w:tc>
      </w:tr>
      <w:tr>
        <w:trPr>
          <w:trHeight w:val="25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FFS revenue</w:t>
            </w:r>
          </w:p>
        </w:tc>
        <w:tc>
          <w:tcPr>
            <w:tcW w:w="2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31,299</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39,621</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112,242</w:t>
            </w:r>
          </w:p>
        </w:tc>
      </w:tr>
      <w:tr>
        <w:trPr>
          <w:trHeight w:val="244"/>
        </w:trPr>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60,195</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169,154</w:t>
            </w:r>
          </w:p>
        </w:tc>
      </w:tr>
      <w:tr>
        <w:trPr>
          <w:trHeight w:val="258"/>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pharmacy revenue</w:t>
            </w: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75,895</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187,761</w:t>
            </w:r>
          </w:p>
        </w:tc>
      </w:tr>
      <w:tr>
        <w:trPr>
          <w:trHeight w:val="244"/>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Clinical research trials and other revenue</w:t>
            </w: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r>
      <w:tr>
        <w:trPr>
          <w:trHeight w:val="276"/>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136,564</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478,490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Refer to Note 19 for Segment Reporting for disaggregation of revenue by reporting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 Asset and Liabilities</w:t>
      </w:r>
    </w:p>
    <w:p>
      <w:pPr>
        <w:spacing w:after="0" w:line="178" w:lineRule="exact"/>
        <w:rPr>
          <w:sz w:val="20"/>
          <w:szCs w:val="20"/>
          <w:color w:val="auto"/>
        </w:rPr>
      </w:pPr>
    </w:p>
    <w:p>
      <w:pPr>
        <w:jc w:val="both"/>
        <w:ind w:left="40" w:firstLine="317"/>
        <w:spacing w:after="0" w:line="257" w:lineRule="auto"/>
        <w:rPr>
          <w:sz w:val="20"/>
          <w:szCs w:val="20"/>
          <w:color w:val="auto"/>
        </w:rPr>
      </w:pPr>
      <w:r>
        <w:rPr>
          <w:rFonts w:ascii="Times New Roman" w:cs="Times New Roman" w:eastAsia="Times New Roman" w:hAnsi="Times New Roman"/>
          <w:sz w:val="18"/>
          <w:szCs w:val="18"/>
          <w:color w:val="231F20"/>
        </w:rPr>
        <w:t>Under ASC 606, contract assets represent rights to payment for performance contingent on something other than the passage of time and accounts receivable are rights to payment for performance without contingencies. The Company does not have any contract assets as of September 30, 2026, January 1, 2025, and December 31, 2025. Refer to Note 4 for accounts receivable as of September 30, 2026 and December 31, 2025.</w:t>
      </w:r>
    </w:p>
    <w:p>
      <w:pPr>
        <w:spacing w:after="0" w:line="141"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Contract liabilities represent cash that has been received for contracts, but for which performance is still unsatisfied. As of January 1, 2025, December 31, 2025, and September 30, 2026, the contract liabilities amounted to $0. During the three month periods ended September 30, 2026 and 2025, the Company recognized no revenue related to deferred capitation revenue received (contract liability) as of the beginning of each respective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Remaining Unsatisfied Performance Obligations</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accounting terms for the Company’s patient services and specialty pharmacy contracts do not extend past a year in duration. Additionally, the Company applies the ‘as invoiced’ practical expedient to its clinical research contracts.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6. Inventories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Company purchases intravenous chemotherapy drugs and oral prescription drugs from various suppliers, however substantially from one supplier.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The Company’s inventories as of September 30, 2026 and December 31, 2025 were as follows: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6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4"/>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Oral drug inventory</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r>
      <w:tr>
        <w:trPr>
          <w:trHeight w:val="244"/>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IV drug inventory</w:t>
            </w: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20,659</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w:t>
            </w:r>
          </w:p>
        </w:tc>
      </w:tr>
      <w:tr>
        <w:trPr>
          <w:trHeight w:val="276"/>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7. Marketable Securities and Fair Value Measurements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Marketable Securities</w:t>
      </w:r>
    </w:p>
    <w:p>
      <w:pPr>
        <w:spacing w:after="0" w:line="17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The Company accounted for its investment securities as available for sale using the fair value election pursuant to ASC 825, where changes in fair value are recorded in Other, net non-operating income (expense) on the Company's Condensed Consolidated Statements of Operations. The Company’s investments in cash equivalents at September 30, 2026 and December 31, 2025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ind w:left="90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460" w:type="dxa"/>
            <w:vAlign w:val="bottom"/>
            <w:tcBorders>
              <w:bottom w:val="single" w:sz="8" w:color="auto"/>
            </w:tcBorders>
          </w:tcPr>
          <w:p>
            <w:pPr>
              <w:spacing w:after="0"/>
              <w:rPr>
                <w:sz w:val="20"/>
                <w:szCs w:val="20"/>
                <w:color w:val="auto"/>
              </w:rPr>
            </w:pPr>
          </w:p>
        </w:tc>
      </w:tr>
      <w:tr>
        <w:trPr>
          <w:trHeight w:val="204"/>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3"/>
          </w:tcPr>
          <w:p>
            <w:pPr>
              <w:jc w:val="center"/>
              <w:ind w:right="420"/>
              <w:spacing w:after="0" w:line="204" w:lineRule="exact"/>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960" w:type="dxa"/>
            <w:vAlign w:val="bottom"/>
            <w:gridSpan w:val="3"/>
          </w:tcPr>
          <w:p>
            <w:pPr>
              <w:jc w:val="center"/>
              <w:ind w:right="540"/>
              <w:spacing w:after="0" w:line="204" w:lineRule="exact"/>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460" w:type="dxa"/>
            <w:vAlign w:val="bottom"/>
          </w:tcPr>
          <w:p>
            <w:pPr>
              <w:spacing w:after="0"/>
              <w:rPr>
                <w:sz w:val="17"/>
                <w:szCs w:val="17"/>
                <w:color w:val="auto"/>
              </w:rPr>
            </w:pPr>
          </w:p>
        </w:tc>
      </w:tr>
      <w:tr>
        <w:trPr>
          <w:trHeight w:val="24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1"/>
                <w:szCs w:val="21"/>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21"/>
                <w:szCs w:val="21"/>
                <w:color w:val="auto"/>
              </w:rPr>
            </w:pPr>
          </w:p>
        </w:tc>
        <w:tc>
          <w:tcPr>
            <w:tcW w:w="18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9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51"/>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460" w:type="dxa"/>
            <w:vAlign w:val="bottom"/>
            <w:tcBorders>
              <w:bottom w:val="single" w:sz="8" w:color="auto"/>
            </w:tcBorders>
          </w:tcPr>
          <w:p>
            <w:pPr>
              <w:spacing w:after="0"/>
              <w:rPr>
                <w:sz w:val="20"/>
                <w:szCs w:val="20"/>
                <w:color w:val="auto"/>
              </w:rPr>
            </w:pPr>
          </w:p>
        </w:tc>
      </w:tr>
      <w:tr>
        <w:trPr>
          <w:trHeight w:val="204"/>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3"/>
          </w:tcPr>
          <w:p>
            <w:pPr>
              <w:jc w:val="center"/>
              <w:ind w:right="420"/>
              <w:spacing w:after="0" w:line="204" w:lineRule="exact"/>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960" w:type="dxa"/>
            <w:vAlign w:val="bottom"/>
            <w:gridSpan w:val="3"/>
          </w:tcPr>
          <w:p>
            <w:pPr>
              <w:jc w:val="center"/>
              <w:ind w:right="540"/>
              <w:spacing w:after="0" w:line="204" w:lineRule="exact"/>
              <w:rPr>
                <w:sz w:val="20"/>
                <w:szCs w:val="20"/>
                <w:color w:val="auto"/>
              </w:rPr>
            </w:pPr>
            <w:r>
              <w:rPr>
                <w:rFonts w:ascii="Times New Roman" w:cs="Times New Roman" w:eastAsia="Times New Roman" w:hAnsi="Times New Roman"/>
                <w:sz w:val="18"/>
                <w:szCs w:val="18"/>
                <w:b w:val="1"/>
                <w:bCs w:val="1"/>
                <w:color w:val="auto"/>
                <w:w w:val="97"/>
              </w:rPr>
              <w:t>Gross Unrealized</w:t>
            </w:r>
          </w:p>
        </w:tc>
        <w:tc>
          <w:tcPr>
            <w:tcW w:w="1460" w:type="dxa"/>
            <w:vAlign w:val="bottom"/>
          </w:tcPr>
          <w:p>
            <w:pPr>
              <w:spacing w:after="0"/>
              <w:rPr>
                <w:sz w:val="17"/>
                <w:szCs w:val="17"/>
                <w:color w:val="auto"/>
              </w:rPr>
            </w:pPr>
          </w:p>
        </w:tc>
      </w:tr>
      <w:tr>
        <w:trPr>
          <w:trHeight w:val="24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1"/>
                <w:szCs w:val="21"/>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80" w:type="dxa"/>
            <w:vAlign w:val="bottom"/>
          </w:tcPr>
          <w:p>
            <w:pPr>
              <w:spacing w:after="0"/>
              <w:rPr>
                <w:sz w:val="21"/>
                <w:szCs w:val="21"/>
                <w:color w:val="auto"/>
              </w:rPr>
            </w:pPr>
          </w:p>
        </w:tc>
        <w:tc>
          <w:tcPr>
            <w:tcW w:w="18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96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146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Borders>
              <w:top w:val="single" w:sz="8" w:color="auto"/>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r>
      <w:tr>
        <w:trPr>
          <w:trHeight w:val="251"/>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r>
      <w:tr>
        <w:trPr>
          <w:trHeight w:val="20"/>
        </w:trPr>
        <w:tc>
          <w:tcPr>
            <w:tcW w:w="3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contractual maturities of the Company's investments in cash equivalents as of September 30, 2026 and December 31, 2025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Due in One Year or</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Due After One Year</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September 30, 2026 </w:t>
            </w: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1"/>
                <w:szCs w:val="21"/>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Less</w:t>
            </w:r>
          </w:p>
        </w:tc>
        <w:tc>
          <w:tcPr>
            <w:tcW w:w="120" w:type="dxa"/>
            <w:vAlign w:val="bottom"/>
          </w:tcPr>
          <w:p>
            <w:pPr>
              <w:spacing w:after="0"/>
              <w:rPr>
                <w:sz w:val="21"/>
                <w:szCs w:val="21"/>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 Five Years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 Five Years</w:t>
            </w:r>
          </w:p>
        </w:tc>
        <w:tc>
          <w:tcPr>
            <w:tcW w:w="3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20" w:type="dxa"/>
            <w:vAlign w:val="bottom"/>
          </w:tcPr>
          <w:p>
            <w:pPr>
              <w:spacing w:after="0"/>
              <w:rPr>
                <w:sz w:val="20"/>
                <w:szCs w:val="20"/>
                <w:color w:val="auto"/>
              </w:rPr>
            </w:pPr>
          </w:p>
        </w:tc>
      </w:tr>
      <w:tr>
        <w:trPr>
          <w:trHeight w:val="509"/>
        </w:trPr>
        <w:tc>
          <w:tcPr>
            <w:tcW w:w="3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Due in One Year or</w:t>
            </w:r>
          </w:p>
        </w:tc>
        <w:tc>
          <w:tcPr>
            <w:tcW w:w="120" w:type="dxa"/>
            <w:vAlign w:val="bottom"/>
          </w:tcPr>
          <w:p>
            <w:pPr>
              <w:spacing w:after="0"/>
              <w:rPr>
                <w:sz w:val="24"/>
                <w:szCs w:val="24"/>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Due After One Year</w:t>
            </w:r>
          </w:p>
        </w:tc>
        <w:tc>
          <w:tcPr>
            <w:tcW w:w="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4"/>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December 31, 2025 </w:t>
            </w: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1"/>
                <w:szCs w:val="21"/>
                <w:color w:val="auto"/>
              </w:rPr>
            </w:pPr>
          </w:p>
        </w:tc>
        <w:tc>
          <w:tcPr>
            <w:tcW w:w="1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Less</w:t>
            </w:r>
          </w:p>
        </w:tc>
        <w:tc>
          <w:tcPr>
            <w:tcW w:w="120" w:type="dxa"/>
            <w:vAlign w:val="bottom"/>
          </w:tcPr>
          <w:p>
            <w:pPr>
              <w:spacing w:after="0"/>
              <w:rPr>
                <w:sz w:val="21"/>
                <w:szCs w:val="21"/>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through Five Years</w:t>
            </w:r>
          </w:p>
        </w:tc>
        <w:tc>
          <w:tcPr>
            <w:tcW w:w="18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Due After Five Years</w:t>
            </w:r>
          </w:p>
        </w:tc>
        <w:tc>
          <w:tcPr>
            <w:tcW w:w="38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1"/>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Borders>
              <w:top w:val="single" w:sz="8" w:color="auto"/>
            </w:tcBorders>
            <w:shd w:val="clear" w:color="auto" w:fill="CCEEFF"/>
          </w:tcPr>
          <w:p>
            <w:pPr>
              <w:spacing w:after="0"/>
              <w:rPr>
                <w:sz w:val="20"/>
                <w:szCs w:val="20"/>
                <w:color w:val="auto"/>
              </w:rPr>
            </w:pPr>
          </w:p>
        </w:tc>
        <w:tc>
          <w:tcPr>
            <w:tcW w:w="1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6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7"/>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20" w:type="dxa"/>
            <w:vAlign w:val="bottom"/>
          </w:tcPr>
          <w:p>
            <w:pPr>
              <w:spacing w:after="0"/>
              <w:rPr>
                <w:sz w:val="20"/>
                <w:szCs w:val="20"/>
                <w:color w:val="auto"/>
              </w:rPr>
            </w:pPr>
          </w:p>
        </w:tc>
      </w:tr>
      <w:tr>
        <w:trPr>
          <w:trHeight w:val="1143"/>
        </w:trPr>
        <w:tc>
          <w:tcPr>
            <w:tcW w:w="3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Accrued interest receivable on cash equivalents was $58 and $53 at September 30, 2026 and December 31, 2025, respectively, and is included within other receivables in the Condensed Consolidated Balance Sheets.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Fair Value Measurements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presents the carrying amounts of the Company’s recurring and non-recurring fair value measurements at September 30, 2026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5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21"/>
                <w:szCs w:val="21"/>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1"/>
                <w:szCs w:val="21"/>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5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8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r>
      <w:tr>
        <w:trPr>
          <w:trHeight w:val="25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1"/>
                <w:szCs w:val="21"/>
                <w:color w:val="auto"/>
              </w:rPr>
            </w:pPr>
          </w:p>
        </w:tc>
        <w:tc>
          <w:tcPr>
            <w:tcW w:w="13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21"/>
                <w:szCs w:val="21"/>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1"/>
                <w:szCs w:val="21"/>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31"/>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34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4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8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4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liabilities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Conversion option derivative liabilities</w:t>
            </w: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There were no transfers between levels for the nine months ended September 30, 2026 and twelve months ended December 31, 2025.</w:t>
      </w:r>
    </w:p>
    <w:p>
      <w:pPr>
        <w:spacing w:after="0" w:line="176" w:lineRule="exact"/>
        <w:rPr>
          <w:sz w:val="20"/>
          <w:szCs w:val="20"/>
          <w:color w:val="auto"/>
        </w:rPr>
      </w:pPr>
    </w:p>
    <w:p>
      <w:pPr>
        <w:jc w:val="both"/>
        <w:ind w:firstLine="317"/>
        <w:spacing w:after="0" w:line="273" w:lineRule="auto"/>
        <w:rPr>
          <w:sz w:val="20"/>
          <w:szCs w:val="20"/>
          <w:color w:val="auto"/>
        </w:rPr>
      </w:pPr>
      <w:r>
        <w:rPr>
          <w:rFonts w:ascii="Times New Roman" w:cs="Times New Roman" w:eastAsia="Times New Roman" w:hAnsi="Times New Roman"/>
          <w:sz w:val="17"/>
          <w:szCs w:val="17"/>
          <w:color w:val="231F20"/>
        </w:rPr>
        <w:t>The Company measures its investments (including cash equivalents, marketable securities, and non-current investments) at fair value on a recurring basis and classifies those instruments within Level 2 of the fair value hierarchy. Investment securities, including U.S. Treasury Bills purchased in the secondary market and U.S. Treasury bonds, are classified within Level 2 of the fair value hierarchy because pricing inputs are other than quoted prices in active markets, which are either directly or indirectly observable as of the reporting date, and fair value is determined using models or other valuation methodologies.</w:t>
      </w:r>
    </w:p>
    <w:p>
      <w:pPr>
        <w:spacing w:after="0" w:line="127" w:lineRule="exact"/>
        <w:rPr>
          <w:sz w:val="20"/>
          <w:szCs w:val="20"/>
          <w:color w:val="auto"/>
        </w:rPr>
      </w:pPr>
    </w:p>
    <w:p>
      <w:pPr>
        <w:jc w:val="both"/>
        <w:ind w:firstLine="317"/>
        <w:spacing w:after="0" w:line="269" w:lineRule="auto"/>
        <w:rPr>
          <w:sz w:val="20"/>
          <w:szCs w:val="20"/>
          <w:color w:val="auto"/>
        </w:rPr>
      </w:pPr>
      <w:r>
        <w:rPr>
          <w:rFonts w:ascii="Times New Roman" w:cs="Times New Roman" w:eastAsia="Times New Roman" w:hAnsi="Times New Roman"/>
          <w:sz w:val="17"/>
          <w:szCs w:val="17"/>
          <w:color w:val="231F20"/>
        </w:rPr>
        <w:t>The Company measures its private derivative warrants on a recurring basis and classifies those instruments within Level 2 of the fair value hierarchy because the valuation is based on the observable input of a similar instrument. The Company measures its warrants related to the convertible note redemption, optional redemption derivative liability and conversion option derivative liability on a recurring basis and classifies those instruments within Level 3 of the fair value hierarchy because unobservable inputs are used to measure fair value. See Note 2 for a summary of the Company’s policies relating to fair value measurements, and Note 11 for more detail on the convertible note warrant, optional redemption, and conversion option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636270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presents information about the Company’s Level 3 financial liabilities that are measured at fair value on a recurring basis at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30,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160" w:type="dxa"/>
            <w:vAlign w:val="bottom"/>
          </w:tcPr>
          <w:p>
            <w:pPr>
              <w:spacing w:after="0"/>
              <w:rPr>
                <w:sz w:val="18"/>
                <w:szCs w:val="18"/>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Warrant and Conversion Option</w:t>
            </w:r>
          </w:p>
        </w:tc>
      </w:tr>
      <w:tr>
        <w:trPr>
          <w:trHeight w:val="231"/>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Derivative Liability</w:t>
            </w: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24"/>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Decrease in fair value included in other expense</w:t>
            </w: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12,591</w:t>
            </w:r>
          </w:p>
        </w:tc>
      </w:tr>
      <w:tr>
        <w:trPr>
          <w:trHeight w:val="224"/>
        </w:trPr>
        <w:tc>
          <w:tcPr>
            <w:tcW w:w="8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Extinguishment of optional redemption derivative liability</w:t>
            </w:r>
          </w:p>
        </w:tc>
        <w:tc>
          <w:tcPr>
            <w:tcW w:w="34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(10,837)</w:t>
            </w:r>
          </w:p>
        </w:tc>
      </w:tr>
      <w:tr>
        <w:trPr>
          <w:trHeight w:val="224"/>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warrant liability</w:t>
            </w:r>
          </w:p>
        </w:tc>
        <w:tc>
          <w:tcPr>
            <w:tcW w:w="34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r>
      <w:tr>
        <w:trPr>
          <w:trHeight w:val="224"/>
        </w:trPr>
        <w:tc>
          <w:tcPr>
            <w:tcW w:w="81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 in fair value included in other expense</w:t>
            </w:r>
          </w:p>
        </w:tc>
        <w:tc>
          <w:tcPr>
            <w:tcW w:w="3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18"/>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2026</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w:t>
            </w:r>
          </w:p>
        </w:tc>
      </w:tr>
    </w:tbl>
    <w:p>
      <w:pPr>
        <w:spacing w:after="0" w:line="246"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As of September 30, 2026 and December 31, 2025, the warrants from the convertible note redemption and conversion option derivative were valued using a Black-Scholes, which is considered to be a Level 3 fair value measurement. A summary of the level 3 fair value measurements inputs used in the valuations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September 30, 2026</w:t>
            </w:r>
          </w:p>
        </w:tc>
      </w:tr>
      <w:tr>
        <w:trPr>
          <w:trHeight w:val="244"/>
        </w:trPr>
        <w:tc>
          <w:tcPr>
            <w:tcW w:w="75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51"/>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 price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6.32</w:t>
            </w:r>
          </w:p>
        </w:tc>
      </w:tr>
      <w:tr>
        <w:trPr>
          <w:trHeight w:val="244"/>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8.57</w:t>
            </w:r>
          </w:p>
        </w:tc>
      </w:tr>
      <w:tr>
        <w:trPr>
          <w:trHeight w:val="258"/>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400" w:type="dxa"/>
            <w:vAlign w:val="bottom"/>
            <w:shd w:val="clear" w:color="auto" w:fill="CCEEFF"/>
          </w:tcPr>
          <w:p>
            <w:pPr>
              <w:spacing w:after="0"/>
              <w:rPr>
                <w:sz w:val="22"/>
                <w:szCs w:val="22"/>
                <w:color w:val="auto"/>
              </w:rPr>
            </w:pPr>
          </w:p>
        </w:tc>
        <w:tc>
          <w:tcPr>
            <w:tcW w:w="26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0.86</w:t>
            </w:r>
          </w:p>
        </w:tc>
      </w:tr>
      <w:tr>
        <w:trPr>
          <w:trHeight w:val="224"/>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72.00 %</w:t>
            </w:r>
          </w:p>
        </w:tc>
      </w:tr>
      <w:tr>
        <w:trPr>
          <w:trHeight w:val="224"/>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4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r>
      <w:tr>
        <w:trPr>
          <w:trHeight w:val="224"/>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00" w:type="dxa"/>
            <w:vAlign w:val="bottom"/>
          </w:tcPr>
          <w:p>
            <w:pPr>
              <w:spacing w:after="0"/>
              <w:rPr>
                <w:sz w:val="19"/>
                <w:szCs w:val="19"/>
                <w:color w:val="auto"/>
              </w:rPr>
            </w:pPr>
          </w:p>
        </w:tc>
        <w:tc>
          <w:tcPr>
            <w:tcW w:w="26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4"/>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400" w:type="dxa"/>
            <w:vAlign w:val="bottom"/>
            <w:shd w:val="clear" w:color="auto" w:fill="CCEEFF"/>
          </w:tcPr>
          <w:p>
            <w:pPr>
              <w:spacing w:after="0"/>
              <w:rPr>
                <w:sz w:val="19"/>
                <w:szCs w:val="19"/>
                <w:color w:val="auto"/>
              </w:rPr>
            </w:pPr>
          </w:p>
        </w:tc>
        <w:tc>
          <w:tcPr>
            <w:tcW w:w="26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4"/>
        </w:trPr>
        <w:tc>
          <w:tcPr>
            <w:tcW w:w="76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Conversion Option Derivative Liability</w:t>
            </w:r>
          </w:p>
        </w:tc>
      </w:tr>
      <w:tr>
        <w:trPr>
          <w:trHeight w:val="231"/>
        </w:trPr>
        <w:tc>
          <w:tcPr>
            <w:tcW w:w="7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 price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3.56</w:t>
            </w:r>
          </w:p>
        </w:tc>
      </w:tr>
      <w:tr>
        <w:trPr>
          <w:trHeight w:val="250"/>
        </w:trPr>
        <w:tc>
          <w:tcPr>
            <w:tcW w:w="7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(in years)</w:t>
            </w:r>
          </w:p>
        </w:tc>
        <w:tc>
          <w:tcPr>
            <w:tcW w:w="380" w:type="dxa"/>
            <w:vAlign w:val="bottom"/>
          </w:tcPr>
          <w:p>
            <w:pPr>
              <w:spacing w:after="0"/>
              <w:rPr>
                <w:sz w:val="21"/>
                <w:szCs w:val="21"/>
                <w:color w:val="auto"/>
              </w:rPr>
            </w:pPr>
          </w:p>
        </w:tc>
        <w:tc>
          <w:tcPr>
            <w:tcW w:w="2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114.00 %</w:t>
            </w:r>
          </w:p>
        </w:tc>
      </w:tr>
      <w:tr>
        <w:trPr>
          <w:trHeight w:val="224"/>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38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24"/>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380" w:type="dxa"/>
            <w:vAlign w:val="bottom"/>
            <w:shd w:val="clear" w:color="auto" w:fill="CCEEFF"/>
          </w:tcPr>
          <w:p>
            <w:pPr>
              <w:spacing w:after="0"/>
              <w:rPr>
                <w:sz w:val="19"/>
                <w:szCs w:val="19"/>
                <w:color w:val="auto"/>
              </w:rPr>
            </w:pPr>
          </w:p>
        </w:tc>
        <w:tc>
          <w:tcPr>
            <w:tcW w:w="2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equity</w:t>
            </w:r>
          </w:p>
        </w:tc>
        <w:tc>
          <w:tcPr>
            <w:tcW w:w="380" w:type="dxa"/>
            <w:vAlign w:val="bottom"/>
          </w:tcPr>
          <w:p>
            <w:pPr>
              <w:spacing w:after="0"/>
              <w:rPr>
                <w:sz w:val="19"/>
                <w:szCs w:val="19"/>
                <w:color w:val="auto"/>
              </w:rPr>
            </w:pPr>
          </w:p>
        </w:tc>
        <w:tc>
          <w:tcPr>
            <w:tcW w:w="2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Uncertainty of Fair Value Measurement from Use of Significant Unobservable Inputs</w:t>
      </w:r>
    </w:p>
    <w:p>
      <w:pPr>
        <w:spacing w:after="0" w:line="178" w:lineRule="exact"/>
        <w:rPr>
          <w:sz w:val="20"/>
          <w:szCs w:val="20"/>
          <w:color w:val="auto"/>
        </w:rPr>
      </w:pPr>
    </w:p>
    <w:p>
      <w:pPr>
        <w:jc w:val="both"/>
        <w:ind w:firstLine="317"/>
        <w:spacing w:after="0" w:line="279" w:lineRule="auto"/>
        <w:rPr>
          <w:sz w:val="20"/>
          <w:szCs w:val="20"/>
          <w:color w:val="auto"/>
        </w:rPr>
      </w:pPr>
      <w:r>
        <w:rPr>
          <w:rFonts w:ascii="Times New Roman" w:cs="Times New Roman" w:eastAsia="Times New Roman" w:hAnsi="Times New Roman"/>
          <w:sz w:val="17"/>
          <w:szCs w:val="17"/>
          <w:color w:val="231F20"/>
        </w:rPr>
        <w:t>The inputs to estimate the fair value of the Company’s conversion option, liability classified warrants, and optional redemption derivative liabilities were the market price of the Company’s common stock,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2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Generally, an increase in the market price of the Company’s shares of common stock, an increase in the volatility of the Company’s shares of common stock, and an increase in the remaining term of the derivative liabilities would each result in a directionally similar change in the estimated fair value of the Company’s derivative liabilities. Such changes would increase the associated liability while decreases in these assumptions would decrease the associated liability. An increase in the risk-free interest rate would result in a decrease in the estimated fair value measurement and thus a decrease in the associated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644525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231F20"/>
        </w:rPr>
        <w:t>The Company has not, and does not plan to, declare dividends on its common stock and, as such, there is no change in the estimated fair value of the derivative warrant liabilities due to the dividend assumption.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8. Property and Equipment, Net</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Property and </w:t>
      </w:r>
      <w:r>
        <w:rPr>
          <w:rFonts w:ascii="Times New Roman" w:cs="Times New Roman" w:eastAsia="Times New Roman" w:hAnsi="Times New Roman"/>
          <w:sz w:val="18"/>
          <w:szCs w:val="18"/>
          <w:color w:val="000000"/>
        </w:rPr>
        <w:t>equipment</w:t>
      </w:r>
      <w:r>
        <w:rPr>
          <w:rFonts w:ascii="Times New Roman" w:cs="Times New Roman" w:eastAsia="Times New Roman" w:hAnsi="Times New Roman"/>
          <w:sz w:val="18"/>
          <w:szCs w:val="18"/>
          <w:color w:val="231F20"/>
        </w:rPr>
        <w:t>, net, consist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Useful lives</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September 30, 2026</w:t>
            </w:r>
          </w:p>
        </w:tc>
        <w:tc>
          <w:tcPr>
            <w:tcW w:w="10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4"/>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software</w:t>
            </w:r>
          </w:p>
        </w:tc>
        <w:tc>
          <w:tcPr>
            <w:tcW w:w="46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36 months</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4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w:t>
            </w: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84 months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5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Shorter of lease term or estimated useful life</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r>
      <w:tr>
        <w:trPr>
          <w:trHeight w:val="24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equipment</w:t>
            </w:r>
          </w:p>
        </w:tc>
        <w:tc>
          <w:tcPr>
            <w:tcW w:w="4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60 months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58"/>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r>
      <w:tr>
        <w:trPr>
          <w:trHeight w:val="24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ROU assets</w:t>
            </w:r>
          </w:p>
        </w:tc>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Shorter of lease term or estimated useful life</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5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w:t>
            </w:r>
          </w:p>
        </w:tc>
      </w:tr>
      <w:tr>
        <w:trPr>
          <w:trHeight w:val="251"/>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10,684</w:t>
            </w:r>
          </w:p>
        </w:tc>
      </w:tr>
      <w:tr>
        <w:trPr>
          <w:trHeight w:val="20"/>
        </w:trPr>
        <w:tc>
          <w:tcPr>
            <w:tcW w:w="34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Depreciation expense for the three months ended September 30, 2026 and 2025 was $807 and $1,006, respectively. Depreciation expense for the nine months ended September 30, 2026 and 2025 was $2,830 and $3,048,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9. Accrued Expenses and Other Current Liabilities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Accrued expenses and other current liabilities as of September 30, 2026 and December 31, 2025 consist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4"/>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including bonuses, fringe benefits, and payroll taxes</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0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r>
      <w:tr>
        <w:trPr>
          <w:trHeight w:val="24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insurance reserve</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r>
      <w:tr>
        <w:trPr>
          <w:trHeight w:val="25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Directors and officers insurance premiums</w:t>
            </w:r>
          </w:p>
        </w:tc>
        <w:tc>
          <w:tcPr>
            <w:tcW w:w="5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4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acquisition and contingent consideration</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5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5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4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Repayments on advances</w:t>
            </w:r>
          </w:p>
        </w:tc>
        <w:tc>
          <w:tcPr>
            <w:tcW w:w="54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58"/>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capitated leakage</w:t>
            </w: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r>
      <w:tr>
        <w:trPr>
          <w:trHeight w:val="24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Accrued sub-capitation</w:t>
            </w: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r>
      <w:tr>
        <w:trPr>
          <w:trHeight w:val="25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6,568</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r>
      <w:tr>
        <w:trPr>
          <w:trHeight w:val="251"/>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 current liabilities</w:t>
            </w:r>
          </w:p>
        </w:tc>
        <w:tc>
          <w:tcPr>
            <w:tcW w:w="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29,338</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20,639</w:t>
            </w:r>
          </w:p>
        </w:tc>
      </w:tr>
      <w:tr>
        <w:trPr>
          <w:trHeight w:val="20"/>
        </w:trPr>
        <w:tc>
          <w:tcPr>
            <w:tcW w:w="8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The Company has agreed to indemnify members of the Board and certain officers if they are named or threatened to be named as a party to any proceeding by reason of the fact that they acted in such capacity. The Company entered into a $964 financing arrangement beginning November 2025 with a maturity date of September 2026 at 7.49% annual interest rate to pay 11 monthly principal payments of approximately $80 to $90 in premiums for directors’ and officers’ (“D&amp;O”) insurance coverage through November 2026 to protect against such losses. The principal outstanding balance was $0 and $794 as of September 30, 2026 and December 31, 2025,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10. Leases</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Company leases clinics, office buildings, and certain equipment under noncancellable financing and operating lease agreements that expire at various dates through June 2033.</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initial terms of operating leases range from 1 to 10 years and certain leases provide for free rent periods, periodic rent increases, and renewal options.</w:t>
      </w:r>
    </w:p>
    <w:p>
      <w:pPr>
        <w:spacing w:after="0" w:line="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Monthly payments for these leases range from </w:t>
      </w:r>
      <w:r>
        <w:rPr>
          <w:rFonts w:ascii="Times New Roman" w:cs="Times New Roman" w:eastAsia="Times New Roman" w:hAnsi="Times New Roman"/>
          <w:sz w:val="18"/>
          <w:szCs w:val="18"/>
          <w:color w:val="231F20"/>
        </w:rPr>
        <w:t>$2</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color w:val="231F20"/>
        </w:rPr>
        <w:t>$64</w:t>
      </w:r>
      <w:r>
        <w:rPr>
          <w:rFonts w:ascii="Times New Roman" w:cs="Times New Roman" w:eastAsia="Times New Roman" w:hAnsi="Times New Roman"/>
          <w:sz w:val="21"/>
          <w:szCs w:val="21"/>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All lease agreements generally require the Company to pay maintenance, repairs, property taxes,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insurance costs, which are generally variable amounts based on actual costs incurred during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632460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231F20"/>
        </w:rPr>
        <w:t>The Company has determined that periods covered by options to extend the Company's leases are excluded from the lease terms as it is not reasonably certain the Company will exercise such options.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 Expense</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components of lease expense were as follows for the three and nine months ended September 30,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40" w:type="dxa"/>
            <w:vAlign w:val="bottom"/>
          </w:tcPr>
          <w:p>
            <w:pPr>
              <w:spacing w:after="0"/>
              <w:rPr>
                <w:sz w:val="20"/>
                <w:szCs w:val="20"/>
                <w:color w:val="auto"/>
              </w:rPr>
            </w:pPr>
          </w:p>
        </w:tc>
        <w:tc>
          <w:tcPr>
            <w:tcW w:w="3780" w:type="dxa"/>
            <w:vAlign w:val="bottom"/>
            <w:gridSpan w:val="4"/>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8"/>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120" w:type="dxa"/>
            <w:vAlign w:val="bottom"/>
          </w:tcPr>
          <w:p>
            <w:pPr>
              <w:spacing w:after="0"/>
              <w:rPr>
                <w:sz w:val="18"/>
                <w:szCs w:val="18"/>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120" w:type="dxa"/>
            <w:vAlign w:val="bottom"/>
          </w:tcPr>
          <w:p>
            <w:pPr>
              <w:spacing w:after="0"/>
              <w:rPr>
                <w:sz w:val="18"/>
                <w:szCs w:val="18"/>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24"/>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costs:</w:t>
            </w:r>
          </w:p>
        </w:tc>
        <w:tc>
          <w:tcPr>
            <w:tcW w:w="4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4"/>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ROU asset</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4"/>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lease costs:</w:t>
            </w: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4"/>
        </w:trPr>
        <w:tc>
          <w:tcPr>
            <w:tcW w:w="2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costs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lease costs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20" w:type="dxa"/>
            <w:vAlign w:val="bottom"/>
          </w:tcPr>
          <w:p>
            <w:pPr>
              <w:spacing w:after="0"/>
              <w:rPr>
                <w:sz w:val="19"/>
                <w:szCs w:val="19"/>
                <w:color w:val="auto"/>
              </w:rPr>
            </w:pPr>
          </w:p>
        </w:tc>
        <w:tc>
          <w:tcPr>
            <w:tcW w:w="4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r>
    </w:tbl>
    <w:p>
      <w:pPr>
        <w:spacing w:after="0" w:line="241"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Operating and other lease costs are presented as part of selling, general, and administrative expenses. The components of finance lease costs appear in depreciation and amortization and interest expense.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Maturity of Lease Liabilities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aggregate future lease payments for the Company's leases in years subsequent to September 30, 2026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4"/>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4"/>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future lease payment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4"/>
        </w:trPr>
        <w:tc>
          <w:tcPr>
            <w:tcW w:w="7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 Term and Discount Rate</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following table provides the weighted average remaining lease terms and weighted average discount rates for the Company's leases as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September 30, 2026 and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60" w:type="dxa"/>
            <w:vAlign w:val="bottom"/>
          </w:tcPr>
          <w:p>
            <w:pPr>
              <w:spacing w:after="0"/>
              <w:rPr>
                <w:sz w:val="20"/>
                <w:szCs w:val="20"/>
                <w:color w:val="auto"/>
              </w:rPr>
            </w:pPr>
          </w:p>
        </w:tc>
        <w:tc>
          <w:tcPr>
            <w:tcW w:w="248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05"/>
        </w:trPr>
        <w:tc>
          <w:tcPr>
            <w:tcW w:w="666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48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3.94</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tcPr>
          <w:p>
            <w:pPr>
              <w:spacing w:after="0"/>
              <w:rPr>
                <w:sz w:val="19"/>
                <w:szCs w:val="19"/>
                <w:color w:val="auto"/>
              </w:rPr>
            </w:pPr>
          </w:p>
        </w:tc>
      </w:tr>
      <w:tr>
        <w:trPr>
          <w:trHeight w:val="224"/>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2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1.28</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9"/>
                <w:szCs w:val="19"/>
                <w:color w:val="auto"/>
              </w:rPr>
            </w:pPr>
          </w:p>
        </w:tc>
      </w:tr>
      <w:tr>
        <w:trPr>
          <w:trHeight w:val="22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1"/>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w:t>
            </w:r>
          </w:p>
        </w:tc>
        <w:tc>
          <w:tcPr>
            <w:tcW w:w="24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6.97%</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0" w:type="dxa"/>
            <w:vAlign w:val="bottom"/>
          </w:tcPr>
          <w:p>
            <w:pPr>
              <w:spacing w:after="0"/>
              <w:rPr>
                <w:sz w:val="21"/>
                <w:szCs w:val="21"/>
                <w:color w:val="auto"/>
              </w:rPr>
            </w:pPr>
          </w:p>
        </w:tc>
      </w:tr>
      <w:tr>
        <w:trPr>
          <w:trHeight w:val="25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w:t>
            </w:r>
          </w:p>
        </w:tc>
        <w:tc>
          <w:tcPr>
            <w:tcW w:w="24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6.76%</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 w:type="dxa"/>
            <w:vAlign w:val="bottom"/>
          </w:tcPr>
          <w:p>
            <w:pPr>
              <w:spacing w:after="0"/>
              <w:rPr>
                <w:sz w:val="21"/>
                <w:szCs w:val="21"/>
                <w:color w:val="auto"/>
              </w:rPr>
            </w:pPr>
          </w:p>
        </w:tc>
      </w:tr>
      <w:tr>
        <w:trPr>
          <w:trHeight w:val="1130"/>
        </w:trPr>
        <w:tc>
          <w:tcPr>
            <w:tcW w:w="66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Supplemental Cash Flow Information</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following table provides certain cash flow and supplemental noncash information related to the Company's lease liabilities for the nine months ended September 30,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7"/>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5"/>
              </w:rPr>
              <w:t>September 30, 2026</w:t>
            </w: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r>
      <w:tr>
        <w:trPr>
          <w:trHeight w:val="205"/>
        </w:trPr>
        <w:tc>
          <w:tcPr>
            <w:tcW w:w="53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2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4"/>
        </w:trPr>
        <w:tc>
          <w:tcPr>
            <w:tcW w:w="5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payment for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r>
      <w:tr>
        <w:trPr>
          <w:trHeight w:val="224"/>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4"/>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 Modifications</w:t>
      </w:r>
    </w:p>
    <w:p>
      <w:pPr>
        <w:spacing w:after="0" w:line="165" w:lineRule="exact"/>
        <w:rPr>
          <w:sz w:val="20"/>
          <w:szCs w:val="20"/>
          <w:color w:val="auto"/>
        </w:rPr>
      </w:pPr>
    </w:p>
    <w:p>
      <w:pPr>
        <w:jc w:val="both"/>
        <w:ind w:firstLine="317"/>
        <w:spacing w:after="0" w:line="238" w:lineRule="auto"/>
        <w:rPr>
          <w:sz w:val="20"/>
          <w:szCs w:val="20"/>
          <w:color w:val="auto"/>
        </w:rPr>
      </w:pPr>
      <w:r>
        <w:rPr>
          <w:rFonts w:ascii="Times New Roman" w:cs="Times New Roman" w:eastAsia="Times New Roman" w:hAnsi="Times New Roman"/>
          <w:sz w:val="18"/>
          <w:szCs w:val="18"/>
          <w:color w:val="auto"/>
        </w:rPr>
        <w:t xml:space="preserve">During the nine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the Company extended its lease terms for </w:t>
      </w:r>
      <w:r>
        <w:rPr>
          <w:rFonts w:ascii="Times New Roman" w:cs="Times New Roman" w:eastAsia="Times New Roman" w:hAnsi="Times New Roman"/>
          <w:sz w:val="18"/>
          <w:szCs w:val="18"/>
          <w:color w:val="231F20"/>
        </w:rPr>
        <w:t>five</w:t>
      </w:r>
      <w:r>
        <w:rPr>
          <w:rFonts w:ascii="Times New Roman" w:cs="Times New Roman" w:eastAsia="Times New Roman" w:hAnsi="Times New Roman"/>
          <w:sz w:val="18"/>
          <w:szCs w:val="18"/>
          <w:color w:val="auto"/>
        </w:rPr>
        <w:t xml:space="preserve"> clinics in Florida and five clinic in California. These extensions constitute lease modifications that qualify as a change of accounting for the original leases and not separate contracts. Accordingly, for the nine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the Company recognized the difference of $2,416 as an increase to the operating lease liability and to the operating lease right-of-use asset.</w:t>
      </w:r>
    </w:p>
    <w:p>
      <w:pPr>
        <w:spacing w:after="0" w:line="156"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 xml:space="preserve">During the nine months </w:t>
      </w:r>
      <w:r>
        <w:rPr>
          <w:rFonts w:ascii="Times New Roman" w:cs="Times New Roman" w:eastAsia="Times New Roman" w:hAnsi="Times New Roman"/>
          <w:sz w:val="18"/>
          <w:szCs w:val="18"/>
          <w:color w:val="000000"/>
        </w:rPr>
        <w:t>ended September 30, 2025, the Company extended its lease terms for two clinics in California and one clinic in Arizona. These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extensions constitute lease modifications that qualify as a change of accounting for the original leases and not separate contracts. Accordingly, in the nine months ended September 30, 2025, the Company recognized the difference of $1,372 as an increase to the operating lease liability and to the operating lease right-of-use asset, and $17 as a net increase to rent expense</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11.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Asset-Based Revolving Facility</w:t>
      </w:r>
    </w:p>
    <w:p>
      <w:pPr>
        <w:spacing w:after="0" w:line="165"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On August 20, 2026, Starling Oncology Management, Limited Liability Company, a wholly owned subsidiary of Starling Oncology, Inc. (“SOM, LLC”), entered into a Credit Agreement (the “Revolving Loan Agreement”) among SOM, LLC, such other persons joined thereto as a borrower from time to time, and Gemino Healthcare Finance, LLC d/b/a SLR Healthcare ABL, as lender. The Revolving Loan Agreement provides access to a revolving line of credit facility in the aggregate principal amount of up to $25 million (the “Revolving Loan Commitment”). The facility is intended to provide additional financial flexibility, if needed, and may be drawn upon from time to time. The Company is not required to borrow the full amount available under the facility. Obligations under the Revolving Loan Agreement are secured by a first-priority security interest in substantially all of SOM, LLC’s now owned or thereafter arising collateral. The facility matures on August 20, 2029 (the “Maturity Date”).</w:t>
      </w:r>
    </w:p>
    <w:p>
      <w:pPr>
        <w:spacing w:after="0" w:line="19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Availability of loans will be based upon a borrowing base formula and periodic borrowing base certifications valuing certain of the Company’s accounts receivables. In addition, SOM, LLC is required to cause Starling Oncology CA, APC, a California professional corporation, The Oncology Institute FL, LLC, a Florida limited liability company, and Starling Oncology OR, a Professional Corporation, an Oregon professional corporation (collectively, the “PCs,”) and any other Supported PC (as defined in the Revolving Loan Agreement) to enter into certain lockbox arrangements with respect to SOM, LLC’s receivables, as more fully described in the Revolving Loan Agreement.</w:t>
      </w:r>
    </w:p>
    <w:p>
      <w:pPr>
        <w:spacing w:after="0" w:line="21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SOM, LLC may borrow, repay and reborrow the principal under the Revolving Loan Agreement throughout the term of the facility, subject to the terms, provisions and limitations set forth in the Revolving Loan Agreement. Loans under the Revolving Loan Agreement bear interest at a rate per annum equal to Term SOFR plus 3.95%. “Term SOFR” means the greater of (1) the forward-looking term rate based on the secured overnight financing rate for a three-month tenor and (2) 2.00% per annum, with the rate reset daily. Interest on the revolving loans is payable monthly in arrears on the first day of each month. If an event of default has occurred and is continuing, the interest rate applicable to each loan under the Revolving Loan Agreement shall be the interest rate otherwise applicable, plus 5.00%.</w:t>
      </w:r>
    </w:p>
    <w:p>
      <w:pPr>
        <w:spacing w:after="0" w:line="20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connection with the Revolving Loan Agreement, the Company is required to pay customary fees, including (1) a collateral monitoring fee of 0.0833% per month on the average borrowing base under the Revolving Loan Agreement; (2) an unused line fee equal to 0.04166% per month of the average unused portion of the revolving credit facility; (3) a minimum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532130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fee (in the event the outstanding balance of the revolving loans is less than $5 million (the “Minimum Balance”)) at a rate per annum equal to the interest rate times the Minimum Balance until such time as the outstanding balance exceeds the Minimum Balance; and (4) a termination fee of 3.00% of the Revolving Loan Commitment if termination occurs on or prior to the first anniversary of the Closing Date, 2.00% of the Revolving Loan Commitment if termination occurs after one year, but prior to the second anniversary of the date of the Closing Date and 1.00% of the Revolving Loan Commitment if termination occurs after the second anniversary, but prior to the Maturity Date.</w:t>
      </w:r>
    </w:p>
    <w:p>
      <w:pPr>
        <w:spacing w:after="0" w:line="224"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The Revolving Loan Agreement contains customary representations and warranties and affirmative and negative covenants, including (a) limitations on the ability to effect mergers and consolidations; (b) limitations on liens; (c) limitations on the ability to enter into transactions with affiliates; (d) limitations on guarantees; (e) limitations on investments; (f) limitations on loans to other persons; (g) limitations on payments of subordinated debt; (h) limitations on distributions; (i) limitations on the ability to engage in unrelated lines of business; (j) limitations on the incurrence of additional indebtedness; and (k) a covenant requiring SOM, LLC’s Maximum Loan Turn Days (as defined in the Revolving Loan Agreement) to be no more than thirty five (35) days on a rolling three-month basis on the last business day of each fiscal quarter commencing with the fiscal quarter ending December 31, 2026 and continuing each fiscal quarter thereafter.</w:t>
      </w:r>
    </w:p>
    <w:p>
      <w:pPr>
        <w:spacing w:after="0" w:line="20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There was $5,000 outstanding on the asset-based revolving facility as of September 30, 2026. As of that date, the Company had $5,016 of availability under the facility, after giving effect to the borrowing base.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Term Loan</w:t>
      </w:r>
    </w:p>
    <w:p>
      <w:pPr>
        <w:spacing w:after="0" w:line="17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31F20"/>
        </w:rPr>
        <w:t>On July 1, 2026, the Company entered into a Credit Agreement (the “Term Loan Agreement”), by and among the Company, the lenders from time to time party thereto, and Orbimed Opportunities (CA) V LLC, as the initial lender and administrative agent. The Term Loan Agreement provides for a term loan facility in an aggregate principal amount of $75 million, which was drawn in full on the date of entry into the Term Loan Agreement (the “Term Closing Date”). Loans under the Term Loan Agreement bear interest at a monthly rate equal to the higher of (i) the forward-looking one-month term rate based on the secured overnight financing rate on the day that is two business days prior to the first day of any month and (ii) 3.00% plus, in either case, 5.75%. The interest rate at September 30, 2026 was 9.66%.</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231F20"/>
        </w:rPr>
        <w:t>Loans under the Term Loan Agreement will mature on the first to occur of (i) July 1, 2031, and (ii) the date of acceleration of such loans upon the occurrence and during the continuance of an event of default. The Term Loan Agreement contains certain customary default provisions, representations and warranties and affirmative and negative covenants, including (a) limitations on the ability to engage in unrelated lines of business; (b) limitations on the incurrence of additional indebtedness and liens; (c) limitations on investments; (d) limitations on the payment of dividends and certain other restricted payments; (e) limitations on the ability to effect mergers and consolidations; (f) limitations on the ability to sell or dispose of property or assets; (g) limitations on modifications of certain agreements; (h) limitations on the ability to enter into transactions with affiliates; (i) limitations on sale leaseback transactions; (j) limitations on benefits plans and agreements; and (k) a minimum net revenue requirement of at least $700 million for each most recently ended period of twelve consecutive months, commencing with the month ending December 31, 2027, and for each month thereafter.</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All indebtedness outstanding under the Term Loan Agreement is guaranteed by certain of the Company’s direct and indirect subsidiaries (the “Guarantors”). The indebtedness under the Term Loan Agreement is secured by a first-priority security interest in and lien on substantially all assets of the Company and the Guarantors pursuant to that certain Pledge and Security Agreement dated as of July 1, 2026 (the “Security Agreement”).</w:t>
      </w:r>
    </w:p>
    <w:p>
      <w:pPr>
        <w:spacing w:after="0" w:line="14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31F20"/>
        </w:rPr>
        <w:t>Beginning with the first fiscal quarter ending after the 36-month anniversary of the Term Closing Date, the loans under the Term Loan Agreement will amortize in quarterly installments equal to 7.5% of the outstanding principal amount as of such date, together with a repayment premium and exit fee. The Company may elect to prepay loans under the Term Loan Agreement, in whole or in part, subject to a repayment premium and an exit fee. Additionally, loans under the Term Loan Agreement are subject to certain mandatory prepayment events, including by amounts equal to certain proceeds received by the Company from insurance recoveries related to casualty events and dispositions.</w:t>
      </w:r>
    </w:p>
    <w:p>
      <w:pPr>
        <w:spacing w:after="0" w:line="132"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231F20"/>
        </w:rPr>
        <w:t>On the Term Closing Date, the Company used the proceeds from the loans under the Term Loan Agreement, together with cash on hand, to repay in full the Company’s 4.00% Senior Secured Convertible Notes due 2027 (as defined below), of which, as of July 1, 2026, there was approximately $86 million aggregate principal amount outstanding.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Convertible Note</w:t>
      </w:r>
    </w:p>
    <w:p>
      <w:pPr>
        <w:spacing w:after="0" w:line="178"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auto"/>
        </w:rPr>
        <w:t>On August 9, 2022, Starling entered into a Facility Agreement (the “Facility Agreement”) with certain lenders (“Lenders”) and Deerfield Partners L.P. (“Agent”), pursuant to which, Starling obtained cash loans from the Lenders in the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633730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$110,000, in exchange for which, Starling issued to each Lender a secured convertible promissory note (each, a“Senior Secured Convertible Note”), payable to such Lenders in an amount equal to the unpaid principal amount of loans held by such Lender.</w:t>
      </w:r>
    </w:p>
    <w:p>
      <w:pPr>
        <w:spacing w:after="0" w:line="128"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auto"/>
        </w:rPr>
        <w:t>The Senior Secured Convertible Notes were scheduled to mature on August 9, 2027 (the “Maturity Date”) and bore interest at the rate of 4.00% per annum from August 9, 2022, on the outstanding principal amount, any overdue interest and any other amounts and obligations. Starting on October 1, 2022, the interest was to be paid in cash quarterly in arrears. In the case of prepayment, repayment or redemption of the Senior Secured Convertible Notes, the Company was obligated to pay any accrued and unpaid interest on the principal, along with a make whole amount and an exit fee.</w:t>
      </w:r>
    </w:p>
    <w:p>
      <w:pPr>
        <w:spacing w:after="0" w:line="157" w:lineRule="exact"/>
        <w:rPr>
          <w:sz w:val="20"/>
          <w:szCs w:val="20"/>
          <w:color w:val="auto"/>
        </w:rPr>
      </w:pPr>
    </w:p>
    <w:p>
      <w:pPr>
        <w:jc w:val="both"/>
        <w:ind w:firstLine="317"/>
        <w:spacing w:after="0" w:line="248" w:lineRule="auto"/>
        <w:rPr>
          <w:sz w:val="20"/>
          <w:szCs w:val="20"/>
          <w:color w:val="auto"/>
        </w:rPr>
      </w:pPr>
      <w:r>
        <w:rPr>
          <w:rFonts w:ascii="Times New Roman" w:cs="Times New Roman" w:eastAsia="Times New Roman" w:hAnsi="Times New Roman"/>
          <w:sz w:val="18"/>
          <w:szCs w:val="18"/>
          <w:color w:val="auto"/>
        </w:rPr>
        <w:t>The Facility Agreement required the Company to meet certain operational and reporting requirements, including, but not limited to, customary regulatory, financial reporting, and disclosure requirements. Additionally, limitations were placed on the Company's ability to merge with other companies and enter into other debt arrangements and permitted investments are limited to amounts specified in the Facility Agreement. The Facility Agreement also provides certain restrictions on dividend payments and equity transactions and required the Company to make prepayments under specified circumstances. Financial covenants in the Facility Agreement required the Company to maintain minimum net quarterly revenues of $100,000 during fiscal year 2026 and thereafter. Additionally, the Company entered into a registration rights agreement with the parties to the Facility Agreement that requires the Company for the resales by the Lenders of shares of common stock issued or issuable upon conversion or exercise of the Senior Secured Convertible Notes or the warrants issuable under the Facility Agreement and provides for certain penalties for failure to maintain the effectiveness of the registration statement.</w:t>
      </w:r>
    </w:p>
    <w:p>
      <w:pPr>
        <w:spacing w:after="0" w:line="13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On February 26, 2025, the Company, the Lenders, and the Agent, entered into the Limited Consent and Amendment No. 1 to Facility Agreement (the “Consent and Amendment”), which amended the Facility Agreement, dated as of August 9, 2022. The Consent and Amendment, among other things, provided for (i) Lenders’ consents to the waiver of certain restrictions imposed by the Facility Agreement regarding the issuance and sale of the Company’s equity and equity-linked securities, (ii) the removal of a financial covenant that required the Company to hold at least $40,000 of cash or cash equivalents in accounts that were subject to control agreements in favor of the Agent, (iii) amendment and restatement of the Company’s financial reporting covenant under the Facility Agreement in its entirety, and (iv) granting participation rights permitting the Lenders to purchase common stock and/or warrants exercisable for common stock in up to two equity offerings that occurred by no later than February 26, 2026 (“Participation Rights”). The Consent and Amendment was accounted for as a debt modification in accordance with ASC 470.</w:t>
      </w:r>
    </w:p>
    <w:p>
      <w:pPr>
        <w:spacing w:after="0" w:line="2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connection with the Consent and Amendment, the Company executed the Optional Redemption feature (as described below) and made a partial prepayment of the Senior Secured Convertible Notes issued pursuant to the Facility Agreement in an aggregate principal amount of approximately $20,000 together with accrued and unpaid interest thereon. As part of the prepayment, the Lenders also waived any and all make whole amounts that would otherwise be due and owing thereto under the Facility Documents in respect of the prepayment. As a result of the prepayment, the Company recognized a loss on extinguishment of debt within interest expense of $2,900 during the quarter ended March 31, 2025, which consisted of a proportionate write-off of unamortized financing costs related to the Facility Agreement.</w:t>
      </w:r>
    </w:p>
    <w:p>
      <w:pPr>
        <w:spacing w:after="0" w:line="21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Additionally, on March 24, 2025, in connection with the Private Placement (described in Note 13. Stockholders’ Equity) certain Lenders exercised participation rights and entered into an exchange agreement pursuant to which such Lenders agreed to exchange approximately $4,100 aggregate principal amount of the Senior Secured Convertible Notes for 37,232.83 shares of common-equivalent Preferred Stock (convertible into 3,723,283 shares of Common Stock) and warrants to purchase 1,861,642 shares of Common Stock at the same prices being paid by the investors in the Private Placement. The fair value of the common-equivalent Preferred Stock and warrants issued was $4,100. The exchange was accounted for as a partial debt extinguishment under ASC 470. As a result, the Company recognized a loss on extinguishment of debt within interest expense of $600 during the three months ended March 31, 2025, which consisted of a proportionate write-off of unamortized financing costs related to the Facility Agreement.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1, 2026, the Company repaid approximately $86 million aggregate principal amount of the Senior Secured Convertible Notes, which represented the</w:t>
      </w:r>
    </w:p>
    <w:p>
      <w:pPr>
        <w:spacing w:after="0" w:line="4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 xml:space="preserve">entire aggregate amount outstanding. </w:t>
      </w:r>
      <w:r>
        <w:rPr>
          <w:rFonts w:ascii="Times New Roman" w:cs="Times New Roman" w:eastAsia="Times New Roman" w:hAnsi="Times New Roman"/>
          <w:sz w:val="18"/>
          <w:szCs w:val="18"/>
          <w:color w:val="231F20"/>
        </w:rPr>
        <w:t>As a part of the repayment of the Senior Secured Convertible Notes, the Company issued warrant agreements to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shares of common stock of the Company to Deerfield Partners, L.P. and its affiliates, with an expiration date of August 9, 2027 and an initial exercise price of $8.567 per share. The total number of shares of common stock underlying the Warrants is 10,025,535 shares. No additional consideration was paid to the Company by the warrant holders for the issuance of the Warrants. See "</w:t>
      </w:r>
      <w:r>
        <w:rPr>
          <w:rFonts w:ascii="Times New Roman" w:cs="Times New Roman" w:eastAsia="Times New Roman" w:hAnsi="Times New Roman"/>
          <w:sz w:val="18"/>
          <w:szCs w:val="18"/>
          <w:color w:val="000000"/>
        </w:rPr>
        <w:t>Convertible Note Warrants" section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noted above, the Company used proceeds from the $75.0 million Senior Secured Term Loan, together with additional cash, to repay the Senior Secured Convertible Notes held by Deerfield, and issued Convertible Note Warrants to Deerfield. The transaction was accounted for as a debt extinguishment, and the Company recognized a loss on extinguishment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$11.6 million, calculated as the difference between the total consideration transferred of $103.1 million and the net carrying amount of the extinguished debt of $91.6 million. Total consideration consisted of the Senior Secured Term Loan proceeds of $75.0 million, an exit fee of $1.7 million, a make-whole amount of $3.9 million, incremental cash of $11.8 million directly related to Deerfield, and the $10.8 million fair value of the Convertible Note Warrants issued. The net carrying amount comprised the remaining principal of $85.9 million, accrued interest of $0.9 million, and the $10.8 million fair value of the bifurcated optional redemption feature, less unamortized debt issuance costs of $0.8 million and unamortized debt discount of $5.2 million. The loss is included as part of other non-operating expenses in the Condensed Consolidated Statements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Options</w:t>
      </w:r>
    </w:p>
    <w:p>
      <w:pPr>
        <w:spacing w:after="0" w:line="193"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auto"/>
        </w:rPr>
        <w:t>The Senior Secured Convertible Notes contained several embedded conversion options (the “Conversion Options”) that granted the holders of the Senior Secured Convertible Notes the ability to convert the Senior Secured Convertible Notes at any time on or after the date of issuance of the notes. The Conversion Options were convertible into shares of the Company’s common stock (such converted shares, “Conversion Shares”) and, in certain circumstances, a combination of cash and shares of the Company’s common stock, or a combination of cash, other assets and securities or other property of any Company successor entity. The Conversion Shares or settlement amounts were computed on the basis of a predefined formula, with a set conversion price of $8.567 as one of the inputs and a conversion cap of 14,663,019 shares. The if-converted value did not exceed the principal amount during the period in which the Senior Secured Convertible Notes were outstanding, therefore no Conversion Shares were issued.</w:t>
      </w:r>
    </w:p>
    <w:p>
      <w:pPr>
        <w:spacing w:after="0" w:line="147"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Company evaluated the Conversion Options of the Senior Secured Convertible Notes under ASC 815 and concluded that they required bifurcation from the host contract as a separate unit of account. The Conversion Options did not meet the criteria to be classified in shareholders’ equity and hence, were accounted for as a derivative liability remeasured at fair value at each balance sheet date with changes in fair value reported in earnings.</w:t>
      </w:r>
    </w:p>
    <w:p>
      <w:pPr>
        <w:spacing w:after="0" w:line="141"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Conversion Options contained certain limits on exercise if, after giving effect to the exercise, the Lender would beneficially own a number of shares of common stock of the Company in excess of those permissible under the terms of the Senior Secured Convertible Notes. The number of shares to be issuable against these notes and conversion price were each subject to adjustments provided under the terms of Senior Secured Convertible Note.</w:t>
      </w:r>
    </w:p>
    <w:p>
      <w:pPr>
        <w:spacing w:after="0" w:line="154"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holders were entitled to receive dividends and distributions of any kind made to the holders of common stock, other than dividends of, or distributions in, shares, to the same extent as if the holders had converted the Senior Secured Convertible Notes into such shares and had held such shares on the record date for such dividends and distributions without regard to any limitations on conversion.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80"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auto"/>
        </w:rPr>
        <w:t>The Facility Agreement also provided the Company the right to redeem the outstanding principal amount of each note (“Optional Redemption”) for the Optional Redemption Price. The Company could not effect any such Optional Redemption unless the Company also effected an optional redemption under all other notes in accordance with the terms thereof, on a pro rata basis, based upon the respective applicable original principal amount of each of the notes outstanding as of the date the notice for Optional Redemption was delivered to the holders.</w:t>
      </w:r>
    </w:p>
    <w:p>
      <w:pPr>
        <w:spacing w:after="0" w:line="210" w:lineRule="exact"/>
        <w:rPr>
          <w:sz w:val="20"/>
          <w:szCs w:val="20"/>
          <w:color w:val="auto"/>
        </w:rPr>
      </w:pPr>
    </w:p>
    <w:p>
      <w:pPr>
        <w:jc w:val="both"/>
        <w:ind w:firstLine="317"/>
        <w:spacing w:after="0" w:line="279" w:lineRule="auto"/>
        <w:rPr>
          <w:sz w:val="20"/>
          <w:szCs w:val="20"/>
          <w:color w:val="auto"/>
        </w:rPr>
      </w:pPr>
      <w:r>
        <w:rPr>
          <w:rFonts w:ascii="Times New Roman" w:cs="Times New Roman" w:eastAsia="Times New Roman" w:hAnsi="Times New Roman"/>
          <w:sz w:val="17"/>
          <w:szCs w:val="17"/>
          <w:color w:val="auto"/>
        </w:rPr>
        <w:t>The Company evaluated the Optional Redemption feature of the Senior Secured Convertible Notes under ASC 815 and concluded that it required bifurcation from the host contract as a separate unit of account. The Optional Redemption feature did not meet the criteria to be classified in shareholders’ equity and hence, was accounted for as a derivative liability remeasured at fair value at each balance sheet date with changes in fair value reported in earnings.</w:t>
      </w:r>
    </w:p>
    <w:p>
      <w:pPr>
        <w:spacing w:after="0" w:line="190"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auto"/>
        </w:rPr>
        <w:t>If the principal redemption amount specified in an Optional Redemption notice was less than the entire principal amount then outstanding, the principal amount specified in each conversion notice was to be applied (i) first, to reduce, on a dollar-for-dollar basis, the principal amount of the note in excess of the principal redemption amount until such excess principal amount was reduced to zero and (ii) to reduce, on a dollar-for-dollar basis, the principal redemption amount until all of such principal redemption amount was converted.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Warrants</w:t>
      </w:r>
    </w:p>
    <w:p>
      <w:pPr>
        <w:spacing w:after="0" w:line="193"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Facility Agreement also provided for the issuance of warrants (the “Convertible Note Warrants”) on each date any principal amount of any Senior Secured Convertible Note was paid, repaid, redeemed, or prepaid at any time prior to the Maturity Date. Convertible Note Warrants are exercisable from their original issue date to August 9, 2027, for purchase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633095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aggregate amount of Conversion Shares into which such principal amount of Senior Secured Convertible Note was convertible, immediately prior to such payment, at an exercise price of $8.567. The holder of Convertible Note Warrants may pay the exercise price in cash or exercise the warrant on a cashless basis or through a reduction of an amount of principal outstanding under any Senior Secured Convertible Note held by such holder. In the event that the Convertible Note Warrant has not been exercised in full as of the last business day during its term, the holder shall be deemed to have exercised the purchase rights represented by the Convertible Note Warrant in full as a cashless exercise, in which event the Company shall issue the number of shares to the holder computed on the basis of a predefined formula.</w:t>
      </w:r>
    </w:p>
    <w:p>
      <w:pPr>
        <w:spacing w:after="0" w:line="146" w:lineRule="exact"/>
        <w:rPr>
          <w:sz w:val="20"/>
          <w:szCs w:val="20"/>
          <w:color w:val="auto"/>
        </w:rPr>
      </w:pPr>
    </w:p>
    <w:p>
      <w:pPr>
        <w:jc w:val="both"/>
        <w:ind w:firstLine="317"/>
        <w:spacing w:after="0" w:line="279" w:lineRule="auto"/>
        <w:rPr>
          <w:sz w:val="20"/>
          <w:szCs w:val="20"/>
          <w:color w:val="auto"/>
        </w:rPr>
      </w:pPr>
      <w:r>
        <w:rPr>
          <w:rFonts w:ascii="Times New Roman" w:cs="Times New Roman" w:eastAsia="Times New Roman" w:hAnsi="Times New Roman"/>
          <w:sz w:val="17"/>
          <w:szCs w:val="17"/>
          <w:color w:val="auto"/>
        </w:rPr>
        <w:t>The Company evaluated the Convertible Note Warrants of the Senior Secured Convertible Note under ASC 815 and concluded that they require bifurcation from the host contract as a separate unit of account. The Convertible Note Warrants do not meet the criteria to be classified in shareholders’ equity and hence, are accounted for as a derivative liability remeasured at fair value at each balance sheet date with changes in fair value reported in earnings.</w:t>
      </w:r>
    </w:p>
    <w:p>
      <w:pPr>
        <w:spacing w:after="0" w:line="137"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Convertible Note Warrant holder shall be entitled to receive any dividend or distribution made by the Company to the holders of common stock to the same extent as if the holder had exercised the Convertible Note Warrants in full in a cash exercise.</w:t>
      </w:r>
    </w:p>
    <w:p>
      <w:pPr>
        <w:spacing w:after="0" w:line="128" w:lineRule="exact"/>
        <w:rPr>
          <w:sz w:val="20"/>
          <w:szCs w:val="20"/>
          <w:color w:val="auto"/>
        </w:rPr>
      </w:pPr>
    </w:p>
    <w:p>
      <w:pPr>
        <w:jc w:val="both"/>
        <w:ind w:firstLine="317"/>
        <w:spacing w:after="0" w:line="267" w:lineRule="auto"/>
        <w:rPr>
          <w:sz w:val="20"/>
          <w:szCs w:val="20"/>
          <w:color w:val="auto"/>
        </w:rPr>
      </w:pPr>
      <w:r>
        <w:rPr>
          <w:rFonts w:ascii="Times New Roman" w:cs="Times New Roman" w:eastAsia="Times New Roman" w:hAnsi="Times New Roman"/>
          <w:sz w:val="17"/>
          <w:szCs w:val="17"/>
          <w:color w:val="auto"/>
        </w:rPr>
        <w:t>The number of shares to be issued against these warrants and exercise price are each subject to adjustments provided under the terms of Convertible Note Warrants. The Convertible Note Warrants contain certain limits on exercise if, after giving effect to the exercise, the Lender would beneficially own a number of shares of common stock of the Company in excess of those permissible under the terms of the Convertible Note Warrants. Further, the Convertible Note Warrants can be fully or partially settled in cash in certain cases in accordance with the terms of issuance such as when shares issuable upon exercise of the warrants exceed a predefined number, upon occurrence of predefined events of default and upon occurrence of predefined events that will bring a fundamental change in the Company such as merger, consolidation, business combination, recapitalization, reorganization, reclassification or other similar event.</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September 30, 2026 and</w:t>
      </w:r>
      <w:r>
        <w:rPr>
          <w:rFonts w:ascii="Times New Roman" w:cs="Times New Roman" w:eastAsia="Times New Roman" w:hAnsi="Times New Roman"/>
          <w:sz w:val="18"/>
          <w:szCs w:val="18"/>
          <w:color w:val="auto"/>
        </w:rPr>
        <w:t xml:space="preserve"> December 31, 2025, there were </w:t>
      </w:r>
      <w:r>
        <w:rPr>
          <w:rFonts w:ascii="Times New Roman" w:cs="Times New Roman" w:eastAsia="Times New Roman" w:hAnsi="Times New Roman"/>
          <w:sz w:val="18"/>
          <w:szCs w:val="18"/>
          <w:color w:val="231F20"/>
        </w:rPr>
        <w:t>10,025,535 and</w:t>
      </w:r>
      <w:r>
        <w:rPr>
          <w:rFonts w:ascii="Times New Roman" w:cs="Times New Roman" w:eastAsia="Times New Roman" w:hAnsi="Times New Roman"/>
          <w:sz w:val="18"/>
          <w:szCs w:val="18"/>
          <w:color w:val="auto"/>
        </w:rPr>
        <w:t xml:space="preserve"> 0 Convertible Note Warrants outstanding,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Proceeds</w:t>
      </w:r>
    </w:p>
    <w:p>
      <w:pPr>
        <w:spacing w:after="0" w:line="180"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auto"/>
        </w:rPr>
        <w:t>The Company allocated the initial total issuance proceeds of $110,000 among the Senior Secured Convertible Note and Convertible Note Warrants based on fair value. Upon initial issuance of the Convertible Note Warrants, the Company recorded Convertible Note Warrants, Optional Redemption, and Conversion Options of $0, $0 and $28,160, respectively, which were recorded as a debt discount to the Senior Secured Convertible Note of $110,000. The Company amortized the debt discount over a period of 5 years.</w:t>
      </w:r>
    </w:p>
    <w:p>
      <w:pPr>
        <w:spacing w:after="0" w:line="144"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The total issuance costs of $4,924 were allocated among the Senior Secured Convertible Note, Convertible Note Warrants, Optional Redemption, and Conversion Options, by allocating costs of $0, $0, and $1,261 to the Convertible Note Warrants, Optional Redemption, and Conversion Options with the residual cost of $3,663 being allocated to the Senior Secured Convertible Note (in addition to the debt discount). The Company expensed issuance costs allocated to Warrants, Optional Redemption, and Conversion Options at inception and amortized the costs allocated to the Senior Secured Convertible Notes over a period of 5 years.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Outstanding and Recognized during the Periods Presented</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Senior Secured Term Loan and Senior Secured Convertible Notes as of September 30, 2026 and December 31, 2025 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58"/>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due July 1, 2031</w:t>
            </w: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Convertible Note, due August 9, 2027</w:t>
            </w:r>
          </w:p>
        </w:tc>
        <w:tc>
          <w:tcPr>
            <w:tcW w:w="5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85,889</w:t>
            </w:r>
          </w:p>
        </w:tc>
      </w:tr>
      <w:tr>
        <w:trPr>
          <w:trHeight w:val="27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r>
      <w:tr>
        <w:trPr>
          <w:trHeight w:val="237"/>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5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r>
      <w:tr>
        <w:trPr>
          <w:trHeight w:val="40"/>
        </w:trPr>
        <w:tc>
          <w:tcPr>
            <w:tcW w:w="808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95"/>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 of unamortized debt discount and issuance costs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72,520</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September 30, 2026, the estimated fair value (Level 2) of the Senior Secured Term Note was</w:t>
      </w:r>
      <w:r>
        <w:rPr>
          <w:rFonts w:ascii="Times New Roman" w:cs="Times New Roman" w:eastAsia="Times New Roman" w:hAnsi="Times New Roman"/>
          <w:sz w:val="18"/>
          <w:szCs w:val="18"/>
          <w:color w:val="231F20"/>
        </w:rPr>
        <w:t xml:space="preserve"> $74,377</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664210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2025</w:t>
      </w:r>
      <w:r>
        <w:rPr>
          <w:rFonts w:ascii="Times New Roman" w:cs="Times New Roman" w:eastAsia="Times New Roman" w:hAnsi="Times New Roman"/>
          <w:sz w:val="18"/>
          <w:szCs w:val="18"/>
          <w:color w:val="000000"/>
        </w:rPr>
        <w:t>, the estimated fair value (Level 2) of the Senior Secured Convertible Notes was</w:t>
      </w:r>
      <w:r>
        <w:rPr>
          <w:rFonts w:ascii="Times New Roman" w:cs="Times New Roman" w:eastAsia="Times New Roman" w:hAnsi="Times New Roman"/>
          <w:sz w:val="18"/>
          <w:szCs w:val="18"/>
          <w:color w:val="231F20"/>
        </w:rPr>
        <w:t xml:space="preserve"> $76,290</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 xml:space="preserve">The amortization of the debt issuance costs was charged to interest expense for all periods presented. For the three months ended September 30, 2026 and 2025, the effective yield was 10.37% (Senior Secured Term Loan) and 10.64% (Senior Secured Convertible Note), respectively. The amount of debt issuance costs and debt discount included in interest expense for the three and nine months ended </w:t>
      </w:r>
      <w:r>
        <w:rPr>
          <w:rFonts w:ascii="Times New Roman" w:cs="Times New Roman" w:eastAsia="Times New Roman" w:hAnsi="Times New Roman"/>
          <w:sz w:val="18"/>
          <w:szCs w:val="18"/>
          <w:color w:val="000000"/>
        </w:rPr>
        <w:t>September 30, 2026</w:t>
      </w:r>
      <w:r>
        <w:rPr>
          <w:rFonts w:ascii="Times New Roman" w:cs="Times New Roman" w:eastAsia="Times New Roman" w:hAnsi="Times New Roman"/>
          <w:sz w:val="18"/>
          <w:szCs w:val="18"/>
          <w:color w:val="231F20"/>
        </w:rPr>
        <w:t xml:space="preserve"> was </w:t>
      </w:r>
      <w:r>
        <w:rPr>
          <w:rFonts w:ascii="Times New Roman" w:cs="Times New Roman" w:eastAsia="Times New Roman" w:hAnsi="Times New Roman"/>
          <w:sz w:val="18"/>
          <w:szCs w:val="18"/>
          <w:color w:val="000000"/>
        </w:rPr>
        <w:t>$146</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$2,614</w:t>
      </w:r>
      <w:r>
        <w:rPr>
          <w:rFonts w:ascii="Times New Roman" w:cs="Times New Roman" w:eastAsia="Times New Roman" w:hAnsi="Times New Roman"/>
          <w:sz w:val="18"/>
          <w:szCs w:val="18"/>
          <w:color w:val="231F20"/>
        </w:rPr>
        <w:t>, respectively. The amount of debt issuance costs and debt discount included in interest expense for the three and nine months ended September 30, 2025 was $1,172 and $7,175, respectively.</w:t>
      </w:r>
    </w:p>
    <w:p>
      <w:pPr>
        <w:spacing w:after="0" w:line="159"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 xml:space="preserve">The Company had interest expense of </w:t>
      </w:r>
      <w:r>
        <w:rPr>
          <w:rFonts w:ascii="Times New Roman" w:cs="Times New Roman" w:eastAsia="Times New Roman" w:hAnsi="Times New Roman"/>
          <w:sz w:val="18"/>
          <w:szCs w:val="18"/>
          <w:color w:val="000000"/>
        </w:rPr>
        <w:t>$1,841</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$3,568</w:t>
      </w:r>
      <w:r>
        <w:rPr>
          <w:rFonts w:ascii="Times New Roman" w:cs="Times New Roman" w:eastAsia="Times New Roman" w:hAnsi="Times New Roman"/>
          <w:sz w:val="18"/>
          <w:szCs w:val="18"/>
          <w:color w:val="231F20"/>
        </w:rPr>
        <w:t xml:space="preserve"> on the Senior Secured Term Loan and the Senior Secured Convertible Note for the three and nine months ended </w:t>
      </w:r>
      <w:r>
        <w:rPr>
          <w:rFonts w:ascii="Times New Roman" w:cs="Times New Roman" w:eastAsia="Times New Roman" w:hAnsi="Times New Roman"/>
          <w:sz w:val="18"/>
          <w:szCs w:val="18"/>
          <w:color w:val="000000"/>
        </w:rPr>
        <w:t>September 30, 2026</w:t>
      </w:r>
      <w:r>
        <w:rPr>
          <w:rFonts w:ascii="Times New Roman" w:cs="Times New Roman" w:eastAsia="Times New Roman" w:hAnsi="Times New Roman"/>
          <w:sz w:val="18"/>
          <w:szCs w:val="18"/>
          <w:color w:val="231F20"/>
        </w:rPr>
        <w:t xml:space="preserve">. The Company had interest expense of </w:t>
      </w:r>
      <w:r>
        <w:rPr>
          <w:rFonts w:ascii="Times New Roman" w:cs="Times New Roman" w:eastAsia="Times New Roman" w:hAnsi="Times New Roman"/>
          <w:sz w:val="18"/>
          <w:szCs w:val="18"/>
          <w:color w:val="000000"/>
        </w:rPr>
        <w:t>$878</w:t>
      </w:r>
      <w:r>
        <w:rPr>
          <w:rFonts w:ascii="Times New Roman" w:cs="Times New Roman" w:eastAsia="Times New Roman" w:hAnsi="Times New Roman"/>
          <w:sz w:val="18"/>
          <w:szCs w:val="18"/>
          <w:color w:val="231F20"/>
        </w:rPr>
        <w:t xml:space="preserve"> and $2,756 on the Senior Secured Convertible Note for the three and nine months ended September 30, 2025. There was $0 and $878 of accrued interest as of </w:t>
      </w:r>
      <w:r>
        <w:rPr>
          <w:rFonts w:ascii="Times New Roman" w:cs="Times New Roman" w:eastAsia="Times New Roman" w:hAnsi="Times New Roman"/>
          <w:sz w:val="18"/>
          <w:szCs w:val="18"/>
          <w:color w:val="000000"/>
        </w:rPr>
        <w:t>September 30, 2026</w:t>
      </w:r>
      <w:r>
        <w:rPr>
          <w:rFonts w:ascii="Times New Roman" w:cs="Times New Roman" w:eastAsia="Times New Roman" w:hAnsi="Times New Roman"/>
          <w:sz w:val="18"/>
          <w:szCs w:val="18"/>
          <w:color w:val="231F20"/>
        </w:rPr>
        <w:t xml:space="preserve"> and 2025, respectively. There was $878 accrued interest as of December 31, 2025.</w:t>
      </w:r>
    </w:p>
    <w:p>
      <w:pPr>
        <w:spacing w:after="0" w:line="131" w:lineRule="exact"/>
        <w:rPr>
          <w:sz w:val="20"/>
          <w:szCs w:val="20"/>
          <w:color w:val="auto"/>
        </w:rPr>
      </w:pPr>
    </w:p>
    <w:p>
      <w:pPr>
        <w:ind w:right="140" w:firstLine="317"/>
        <w:spacing w:after="0" w:line="242" w:lineRule="auto"/>
        <w:rPr>
          <w:sz w:val="20"/>
          <w:szCs w:val="20"/>
          <w:color w:val="auto"/>
        </w:rPr>
      </w:pPr>
      <w:r>
        <w:rPr>
          <w:rFonts w:ascii="Times New Roman" w:cs="Times New Roman" w:eastAsia="Times New Roman" w:hAnsi="Times New Roman"/>
          <w:sz w:val="18"/>
          <w:szCs w:val="18"/>
          <w:color w:val="auto"/>
        </w:rPr>
        <w:t>On August 9, 2022, the Company also entered into the Guarantee and Security Agreement (“Guarantee Agreement”) with the Agent for the purpose of providing a guarantee of all the obligations under the Facility Agreement, which terminated upon repayment of the Senior Secured Convertible Notes on July 1, 2026.</w:t>
      </w:r>
    </w:p>
    <w:p>
      <w:pPr>
        <w:spacing w:after="0" w:line="206" w:lineRule="exact"/>
        <w:rPr>
          <w:sz w:val="20"/>
          <w:szCs w:val="20"/>
          <w:color w:val="auto"/>
        </w:rPr>
      </w:pPr>
    </w:p>
    <w:p>
      <w:pPr>
        <w:ind w:right="1020" w:firstLine="317"/>
        <w:spacing w:after="0" w:line="254" w:lineRule="auto"/>
        <w:rPr>
          <w:sz w:val="20"/>
          <w:szCs w:val="20"/>
          <w:color w:val="auto"/>
        </w:rPr>
      </w:pPr>
      <w:r>
        <w:rPr>
          <w:rFonts w:ascii="Times New Roman" w:cs="Times New Roman" w:eastAsia="Times New Roman" w:hAnsi="Times New Roman"/>
          <w:sz w:val="18"/>
          <w:szCs w:val="18"/>
          <w:color w:val="auto"/>
        </w:rPr>
        <w:t xml:space="preserve">Additionally, the Lenders' Agent for the Senior Secured Convertible Note holds shares of common and preferred stock of the Company as of September 30, 2026, and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stated debt maturity related to the Senior Secured Term Note as of September 30, 2026: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8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86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11,250</w:t>
            </w:r>
          </w:p>
        </w:tc>
      </w:tr>
      <w:tr>
        <w:trPr>
          <w:trHeight w:val="27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r>
      <w:tr>
        <w:trPr>
          <w:trHeight w:val="224"/>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w:t>
            </w:r>
          </w:p>
        </w:tc>
      </w:tr>
      <w:tr>
        <w:trPr>
          <w:trHeight w:val="29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860" w:type="dxa"/>
            <w:vAlign w:val="bottom"/>
            <w:tcBorders>
              <w:bottom w:val="single" w:sz="8" w:color="CCEEFF"/>
            </w:tcBorders>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12. Income Taxes</w:t>
      </w:r>
    </w:p>
    <w:p>
      <w:pPr>
        <w:spacing w:after="0" w:line="17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recorded income tax expense of $0 for the </w:t>
      </w:r>
      <w:r>
        <w:rPr>
          <w:rFonts w:ascii="Times New Roman" w:cs="Times New Roman" w:eastAsia="Times New Roman" w:hAnsi="Times New Roman"/>
          <w:sz w:val="18"/>
          <w:szCs w:val="18"/>
          <w:color w:val="231F20"/>
        </w:rPr>
        <w:t>three months ended September 30, 2026 and 2025, respectively.</w:t>
      </w:r>
      <w:r>
        <w:rPr>
          <w:rFonts w:ascii="Times New Roman" w:cs="Times New Roman" w:eastAsia="Times New Roman" w:hAnsi="Times New Roman"/>
          <w:sz w:val="18"/>
          <w:szCs w:val="18"/>
          <w:color w:val="auto"/>
        </w:rPr>
        <w:t xml:space="preserve"> The Company recorded income tax of $0 for the nine </w:t>
      </w:r>
      <w:r>
        <w:rPr>
          <w:rFonts w:ascii="Times New Roman" w:cs="Times New Roman" w:eastAsia="Times New Roman" w:hAnsi="Times New Roman"/>
          <w:sz w:val="18"/>
          <w:szCs w:val="18"/>
          <w:color w:val="231F20"/>
        </w:rPr>
        <w:t>months ended September 30, 2026 and income tax benefit of $131 for the nine months ended September 30, 2025.</w:t>
      </w:r>
      <w:r>
        <w:rPr>
          <w:rFonts w:ascii="Times New Roman" w:cs="Times New Roman" w:eastAsia="Times New Roman" w:hAnsi="Times New Roman"/>
          <w:sz w:val="18"/>
          <w:szCs w:val="18"/>
          <w:color w:val="auto"/>
        </w:rPr>
        <w:t xml:space="preserve"> The Company's effective tax rate was 0% for the </w:t>
      </w:r>
      <w:r>
        <w:rPr>
          <w:rFonts w:ascii="Times New Roman" w:cs="Times New Roman" w:eastAsia="Times New Roman" w:hAnsi="Times New Roman"/>
          <w:sz w:val="18"/>
          <w:szCs w:val="18"/>
          <w:color w:val="231F20"/>
        </w:rPr>
        <w:t>three and nine months ended September 30, 2026 and 2025.</w:t>
      </w:r>
    </w:p>
    <w:p>
      <w:pPr>
        <w:spacing w:after="0" w:line="141"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 xml:space="preserve">The Company's effective tax rate for the </w:t>
      </w:r>
      <w:r>
        <w:rPr>
          <w:rFonts w:ascii="Times New Roman" w:cs="Times New Roman" w:eastAsia="Times New Roman" w:hAnsi="Times New Roman"/>
          <w:sz w:val="18"/>
          <w:szCs w:val="18"/>
          <w:color w:val="231F20"/>
        </w:rPr>
        <w:t>three and nine months ended September 30, 2026</w:t>
      </w:r>
      <w:r>
        <w:rPr>
          <w:rFonts w:ascii="Times New Roman" w:cs="Times New Roman" w:eastAsia="Times New Roman" w:hAnsi="Times New Roman"/>
          <w:sz w:val="18"/>
          <w:szCs w:val="18"/>
          <w:color w:val="auto"/>
        </w:rPr>
        <w:t xml:space="preserve"> was different than the U.S. federal statutory tax rate of 21.00%, primarily due to the change in the valuation allowance, partially offset by non-deductible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13. Stockholders' Equity (Deficit)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 xml:space="preserve">As of September 30, 2026, there were 103,724,798 shares issued and </w:t>
      </w:r>
      <w:r>
        <w:rPr>
          <w:rFonts w:ascii="Times New Roman" w:cs="Times New Roman" w:eastAsia="Times New Roman" w:hAnsi="Times New Roman"/>
          <w:sz w:val="18"/>
          <w:szCs w:val="18"/>
          <w:color w:val="000000"/>
        </w:rPr>
        <w:t>101,991,024 shares outstanding of common stock. As of</w:t>
      </w:r>
      <w:r>
        <w:rPr>
          <w:rFonts w:ascii="Times New Roman" w:cs="Times New Roman" w:eastAsia="Times New Roman" w:hAnsi="Times New Roman"/>
          <w:sz w:val="18"/>
          <w:szCs w:val="18"/>
          <w:color w:val="231F20"/>
        </w:rPr>
        <w:t xml:space="preserve"> December 31, 2025, there were 100,596,918 shares issued and </w:t>
      </w:r>
      <w:r>
        <w:rPr>
          <w:rFonts w:ascii="Times New Roman" w:cs="Times New Roman" w:eastAsia="Times New Roman" w:hAnsi="Times New Roman"/>
          <w:sz w:val="18"/>
          <w:szCs w:val="18"/>
          <w:color w:val="000000"/>
        </w:rPr>
        <w:t>98,863,144 shares outstanding</w:t>
      </w:r>
      <w:r>
        <w:rPr>
          <w:rFonts w:ascii="Times New Roman" w:cs="Times New Roman" w:eastAsia="Times New Roman" w:hAnsi="Times New Roman"/>
          <w:sz w:val="18"/>
          <w:szCs w:val="18"/>
          <w:color w:val="231F20"/>
        </w:rPr>
        <w:t xml:space="preserve"> of common stock.</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holders of the Company’s common stock are entitled to one vote for each share of common stock held at all meetings of stockholders (and written actions in lieu of meetings), and there is no cumulative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625475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Common stockholders are entitled to receive dividends whenever funds are legally available and when declared by the board of directors. No dividends have been declared as of September 30, 2026 and December 31, 2025.</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8"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Pursuant to the terms of the Amended and Restated Certificate of Incorporation, the Company authorized 10,000,000 shares of Series A Common Equivalent Preferred Stock (“Series A preferred stock”) with a par value and liquidation preference of $0.0001 per share. The Company’s board of directors has the authority, without further action by the stockholders to issue such shares of preferred stock in one or more series, to establish, from time to time the number of shares to be included in each such series, and to fix the dividend, voting, and other rights, preferences, and privileges of the shares. As of September 30, 2026 and December 31, 2025, there were 193,507 shares of preferred stock outstanding.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93"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Each share of Series A preferred stock is convertible, at any time on the part of the holder except with respect to the Beneficial Ownership Limitation (defined below), into 100 shares of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Blocker/Beneficial Ownership Limitation</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Series A preferred stock is subject to a beneficial ownership limitation such that the preferred stock may not, at any time, be convertible into more than 4.9% of the total number of shares of common stock outstanding (“Beneficial Ownership Limitation”).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holders of preferred stock do not have voting rights in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93"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The holders of preferred stock are entitled to receive dividends on an as-converted basis whenever funds are legally available and when declared by the board of directors. No dividends have been declared as of September 30, 2026</w:t>
      </w:r>
      <w:r>
        <w:rPr>
          <w:rFonts w:ascii="Times New Roman" w:cs="Times New Roman" w:eastAsia="Times New Roman" w:hAnsi="Times New Roman"/>
          <w:sz w:val="18"/>
          <w:szCs w:val="18"/>
          <w:i w:val="1"/>
          <w:iCs w:val="1"/>
          <w:color w:val="231F20"/>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Assumed Public Warrants and Private Placement Warrants from the Business Combination</w:t>
      </w:r>
    </w:p>
    <w:p>
      <w:pPr>
        <w:spacing w:after="0" w:line="178"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 xml:space="preserve">As a result of the business combination completed on November 12, 2021 (the "Business Combination"), holders of the public warrants and private placement warrants are entitled to acquire common </w:t>
      </w:r>
      <w:r>
        <w:rPr>
          <w:rFonts w:ascii="Times New Roman" w:cs="Times New Roman" w:eastAsia="Times New Roman" w:hAnsi="Times New Roman"/>
          <w:sz w:val="18"/>
          <w:szCs w:val="18"/>
          <w:color w:val="231F20"/>
        </w:rPr>
        <w:t>stock</w:t>
      </w:r>
      <w:r>
        <w:rPr>
          <w:rFonts w:ascii="Times New Roman" w:cs="Times New Roman" w:eastAsia="Times New Roman" w:hAnsi="Times New Roman"/>
          <w:sz w:val="18"/>
          <w:szCs w:val="18"/>
          <w:color w:val="auto"/>
        </w:rPr>
        <w:t xml:space="preserve"> of the Company. The warrants became exercisable on December 12, 2021, 30 days after the completion of the Business Combination, and will expire five years after the completion of the Business Combination or earlier upon redemption or liquidation. As of September 30, 2026, there are 5,749,986 public warrants outstanding and 2,187,283 private placement warrants outstanding from the Business Combination.</w:t>
      </w:r>
    </w:p>
    <w:p>
      <w:pPr>
        <w:spacing w:after="0" w:line="159"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Each warrant entitles the holder to purchase one share of common stock for $11.50 per share. Private warrants held by the initial purchaser or certain permitted transferees may be exercised on a cashless basis.</w:t>
      </w:r>
    </w:p>
    <w:p>
      <w:pPr>
        <w:spacing w:after="0" w:line="12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If the reported last sale price of the common stock equals or exceeds $18.00 per share for any 20 trading days within a 30-trading day period ending three business days before the Company sends the notice of redemption to the warrant holders, the Company may redeem all the public warrants at a price of $0.01 per warrant upon not less than 30 days’ prior written notice.</w:t>
      </w:r>
    </w:p>
    <w:p>
      <w:pPr>
        <w:spacing w:after="0" w:line="141"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The Company will not be required to net cash settle the warrants.</w:t>
      </w:r>
    </w:p>
    <w:p>
      <w:pPr>
        <w:spacing w:after="0" w:line="142" w:lineRule="exact"/>
        <w:rPr>
          <w:sz w:val="20"/>
          <w:szCs w:val="20"/>
          <w:color w:val="auto"/>
        </w:rPr>
      </w:pPr>
    </w:p>
    <w:p>
      <w:pPr>
        <w:jc w:val="both"/>
        <w:ind w:firstLine="317"/>
        <w:spacing w:after="0" w:line="279" w:lineRule="auto"/>
        <w:rPr>
          <w:sz w:val="20"/>
          <w:szCs w:val="20"/>
          <w:color w:val="auto"/>
        </w:rPr>
      </w:pPr>
      <w:r>
        <w:rPr>
          <w:rFonts w:ascii="Times New Roman" w:cs="Times New Roman" w:eastAsia="Times New Roman" w:hAnsi="Times New Roman"/>
          <w:sz w:val="17"/>
          <w:szCs w:val="17"/>
          <w:color w:val="auto"/>
        </w:rPr>
        <w:t>The private warrants from the Business Combination are exercisable on a cashless basis and are non-redeemable so long as they are held by the initial purchasers or their permitted transferees. If the private warrants from the Business Combination are held by someone other than the initial purchasers or their permitted transferees, such private warrants will be redeemable by the Company and exercisable by such holders on the same basis as the public warrants.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Offering and Exchange Agreement</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March 24, 2025, the Company entered into a securities purchase agreement (the “Securities Purchase Agreement”) with accredited investors for a private placement that resulted in gross proceeds of approximately $16,500 before deducting placement agent fees and offering expenses (the “PIPE”). Pursuant to the terms of the Securities Purchase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Company issued to purchasers in the PIPE units consisting of two shares of common stock (or pre-funded warrants in lieu thereof) and common warrants to purchase one share of common stock (or pre-funded warrants) of the Company at a price of $2.2084 per unit (or $2.2082 in the case of units consisting of prefunded warrants). As a result of the PIPE the Company issued an aggregate of: (i) 12,006,510 shares of the Company’s common stock, par value $0.0001 per share (the “Common Stock”), (ii) pre-funded warrants (the “pre-funded Warrants”) to purchase up to an aggregate of 2,886,614 shares of common stock and (iii) accompanying common warrants (the “Common Warrants,”) to purchase up to an aggregate of 7,446,562 shares of common stock. In connection with the PIPE, certain lenders under the Company’s Facility Agreement exercised their Participation Rights and entered into an exchange agreement pursuant to which such lenders agreed to exchange approximately $4,100 aggregate principal amount of the Company’s senior secured convertible notes for 37,232.83 shares of common-equivalent preferred stock (convertible into 3,723,283 shares of common stock) and Common Warrants to purchase 1,861,642 shares of common stock (the "Exchange Warrants"). The exercise price and terms of the Exchange Warrants mirror the terms of the Common Warrants offered to investors in the PIPE.</w:t>
      </w:r>
    </w:p>
    <w:p>
      <w:pPr>
        <w:spacing w:after="0" w:line="1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pre-funded Warrants have an exercise price of $0.0001 per share, and the Common Warrants have an exercise price of $1.1980 per share. The pre-funded Warrants and Common Warrants are subject to customary anti-dilution adjustments following certain events. The pre-funded Warrants and Common Warrants are exercisable at any time by the holder on a cash or cashless basis until the respective warrants are registered, provided that the holder may not exercise the warrants if the holder would own more than 4.9% of the Company immediately following the exercise. The warrants are equity classified in accordance with ASC 815-40.</w:t>
      </w:r>
    </w:p>
    <w:p>
      <w:pPr>
        <w:spacing w:after="0" w:line="210" w:lineRule="exact"/>
        <w:rPr>
          <w:sz w:val="20"/>
          <w:szCs w:val="20"/>
          <w:color w:val="auto"/>
        </w:rPr>
      </w:pPr>
    </w:p>
    <w:p>
      <w:pPr>
        <w:ind w:right="680"/>
        <w:spacing w:after="0" w:line="254" w:lineRule="auto"/>
        <w:rPr>
          <w:sz w:val="20"/>
          <w:szCs w:val="20"/>
          <w:color w:val="auto"/>
        </w:rPr>
      </w:pPr>
      <w:r>
        <w:rPr>
          <w:rFonts w:ascii="Times New Roman" w:cs="Times New Roman" w:eastAsia="Times New Roman" w:hAnsi="Times New Roman"/>
          <w:sz w:val="18"/>
          <w:szCs w:val="18"/>
          <w:color w:val="auto"/>
        </w:rPr>
        <w:t>As of September 30, 2026, all of the Exchange Warrants and pre-funded Warrants issued were still outstanding. As of September 30, 2026, there were 6,858,469 Common Warrants outstanding.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Share Issuances</w:t>
      </w:r>
    </w:p>
    <w:p>
      <w:pPr>
        <w:spacing w:after="0" w:line="231"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 xml:space="preserve">During the year ended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the Company sold 2.8 million shares of its Common Stock through its sales agent, B. Riley Securities. The Company generated approximately $9.6 million in aggregate gross proceeds from sales under the “at-the-market” offering program and paid fees to the sales agent of approximately $384 thousand.</w:t>
      </w:r>
    </w:p>
    <w:p>
      <w:pPr>
        <w:spacing w:after="0" w:line="193"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 xml:space="preserve">During the year ended </w:t>
      </w:r>
      <w:r>
        <w:rPr>
          <w:rFonts w:ascii="Times New Roman" w:cs="Times New Roman" w:eastAsia="Times New Roman" w:hAnsi="Times New Roman"/>
          <w:sz w:val="18"/>
          <w:szCs w:val="18"/>
          <w:color w:val="231F20"/>
        </w:rPr>
        <w:t>December 31, 2025</w:t>
      </w:r>
      <w:r>
        <w:rPr>
          <w:rFonts w:ascii="Times New Roman" w:cs="Times New Roman" w:eastAsia="Times New Roman" w:hAnsi="Times New Roman"/>
          <w:sz w:val="18"/>
          <w:szCs w:val="18"/>
          <w:color w:val="auto"/>
        </w:rPr>
        <w:t>, the Company sold 1.4 million shares of its Common Stock, through its sales agent, BTIG. The Company generated approximately $4.8 million in aggregate gross proceeds from sales under the “at-the-market” offering program and paid fees to the sales agent of approximately $192 thousand.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14. Share-Based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Non-Qualified Stock Option Plan</w:t>
      </w:r>
    </w:p>
    <w:p>
      <w:pPr>
        <w:spacing w:after="0" w:line="165" w:lineRule="exact"/>
        <w:rPr>
          <w:sz w:val="20"/>
          <w:szCs w:val="20"/>
          <w:color w:val="auto"/>
        </w:rPr>
      </w:pPr>
    </w:p>
    <w:p>
      <w:pPr>
        <w:jc w:val="both"/>
        <w:ind w:firstLine="317"/>
        <w:spacing w:after="0" w:line="236" w:lineRule="auto"/>
        <w:rPr>
          <w:sz w:val="20"/>
          <w:szCs w:val="20"/>
          <w:color w:val="auto"/>
        </w:rPr>
      </w:pPr>
      <w:r>
        <w:rPr>
          <w:rFonts w:ascii="Times New Roman" w:cs="Times New Roman" w:eastAsia="Times New Roman" w:hAnsi="Times New Roman"/>
          <w:sz w:val="18"/>
          <w:szCs w:val="18"/>
          <w:color w:val="231F20"/>
        </w:rPr>
        <w:t>On January 2, 2019, the Company adopted the 2019 Non-Qualified Stock Option Plan (the “2019 Plan”) to incentivize directors, consultants, advisors, and other key employees of the Company and its subsidiaries to continue their association by providing opportunities to participate in the ownership and further growth of the Company. The 2019 Plan provides for the grant of options (the “Stock Options”) to purchase shares of common stock of the Company. In conjunction with the Business Combination, the Company amended and fully restated the 2019 Plan through the establishment of the 2021 Incentive Plan (“2021 Plan”).</w:t>
      </w:r>
    </w:p>
    <w:p>
      <w:pPr>
        <w:spacing w:after="0" w:line="224" w:lineRule="exact"/>
        <w:rPr>
          <w:sz w:val="20"/>
          <w:szCs w:val="20"/>
          <w:color w:val="auto"/>
        </w:rPr>
      </w:pPr>
    </w:p>
    <w:p>
      <w:pPr>
        <w:jc w:val="both"/>
        <w:ind w:firstLine="317"/>
        <w:spacing w:after="0" w:line="269" w:lineRule="auto"/>
        <w:rPr>
          <w:sz w:val="20"/>
          <w:szCs w:val="20"/>
          <w:color w:val="auto"/>
        </w:rPr>
      </w:pPr>
      <w:r>
        <w:rPr>
          <w:rFonts w:ascii="Times New Roman" w:cs="Times New Roman" w:eastAsia="Times New Roman" w:hAnsi="Times New Roman"/>
          <w:sz w:val="17"/>
          <w:szCs w:val="17"/>
          <w:color w:val="231F20"/>
        </w:rPr>
        <w:t>Stock Options are granted from the pool of shares designated by the appropriate committee of the Board of Directors. The grant-date fair value of each option award is estimated on the date of grant using the Black-Scholes-Merton option-pricing model. The grant date fair value of the service vesting and the performance vesting options is recognized as an expense over the requisite service period and upon the achievement of the performance condition deemed probable of being achieved, respectively. The exercise price of each Stock Option shall be determined by the committee and may not be less than the fair market value of the shares of common stock on the date of grant. Stock Options have 10-year terms, after which they expire and are no longer exercisable.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The total number of shares of common stock for which Stock Options may be granted under the 2021 Plan shall not exceed 15,640,000.</w:t>
      </w:r>
    </w:p>
    <w:p>
      <w:pPr>
        <w:spacing w:after="0" w:line="176"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Stock Options become vested upon fulfillment of either service vesting conditions, performance vesting conditions, or both, as determined by the award agreement entered into by the Company and optionee. The service vesting requirement states that: (i) 25% of the service vesting options shall vest on the first anniversary of the grant date and (ii) the remaining 75% shall vest on an equal monthly-basis, so long as the optionee has remained continuously employed by the Company from the date of the award through the fourth anniversary of the grant date. The performance vesting requirement states that Stock Options shall vest upon sale of the Company only if the optionee has been continuously employed by the Company or its subsidiaries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636270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the grant date through the date of such sale of the Company. For the awards vesting based on service conditions only and that have a graded vesting schedule, the Company recognizes compensation expense for vested awards in earnings, net of actual forfeitures in the period they occur, on a straight-line basis over the requisite service period.</w:t>
      </w:r>
    </w:p>
    <w:p>
      <w:pPr>
        <w:spacing w:after="0" w:line="141"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As of September 30, 2026, the total number of shares of common stock remaining available for future awards (e.g., non-qualified stock options, incentive stock options, restricted stock units, restricted stock awards) under the 2021 Plan is 9,723,809. There were no Stock Options granted for the nine months ended September 30, 2026 and 2025.</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Stock option activity during the nine months ended September 30, 2026 and 2025 is as follows: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8"/>
        </w:trPr>
        <w:tc>
          <w:tcPr>
            <w:tcW w:w="5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remaining</w:t>
            </w:r>
          </w:p>
        </w:tc>
        <w:tc>
          <w:tcPr>
            <w:tcW w:w="200" w:type="dxa"/>
            <w:vAlign w:val="bottom"/>
          </w:tcPr>
          <w:p>
            <w:pPr>
              <w:spacing w:after="0"/>
              <w:rPr>
                <w:sz w:val="17"/>
                <w:szCs w:val="17"/>
                <w:color w:val="auto"/>
              </w:rPr>
            </w:pPr>
          </w:p>
        </w:tc>
        <w:tc>
          <w:tcPr>
            <w:tcW w:w="1220" w:type="dxa"/>
            <w:vAlign w:val="bottom"/>
          </w:tcPr>
          <w:p>
            <w:pPr>
              <w:jc w:val="center"/>
              <w:ind w:right="132"/>
              <w:spacing w:after="0" w:line="198" w:lineRule="exact"/>
              <w:rPr>
                <w:sz w:val="20"/>
                <w:szCs w:val="20"/>
                <w:color w:val="auto"/>
              </w:rPr>
            </w:pPr>
            <w:r>
              <w:rPr>
                <w:rFonts w:ascii="Times New Roman" w:cs="Times New Roman" w:eastAsia="Times New Roman" w:hAnsi="Times New Roman"/>
                <w:sz w:val="18"/>
                <w:szCs w:val="18"/>
                <w:b w:val="1"/>
                <w:bCs w:val="1"/>
                <w:color w:val="auto"/>
                <w:w w:val="96"/>
              </w:rPr>
              <w:t>Aggregate</w:t>
            </w:r>
          </w:p>
        </w:tc>
      </w:tr>
      <w:tr>
        <w:trPr>
          <w:trHeight w:val="198"/>
        </w:trPr>
        <w:tc>
          <w:tcPr>
            <w:tcW w:w="5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20" w:type="dxa"/>
            <w:vAlign w:val="bottom"/>
          </w:tcPr>
          <w:p>
            <w:pPr>
              <w:spacing w:after="0"/>
              <w:rPr>
                <w:sz w:val="17"/>
                <w:szCs w:val="17"/>
                <w:color w:val="auto"/>
              </w:rPr>
            </w:pPr>
          </w:p>
        </w:tc>
        <w:tc>
          <w:tcPr>
            <w:tcW w:w="152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contractual term</w:t>
            </w:r>
          </w:p>
        </w:tc>
        <w:tc>
          <w:tcPr>
            <w:tcW w:w="14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intrinsic value (in</w:t>
            </w:r>
          </w:p>
        </w:tc>
      </w:tr>
      <w:tr>
        <w:trPr>
          <w:trHeight w:val="251"/>
        </w:trPr>
        <w:tc>
          <w:tcPr>
            <w:tcW w:w="5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Borders>
              <w:bottom w:val="single" w:sz="8" w:color="CCEEFF"/>
            </w:tcBorders>
            <w:gridSpan w:val="2"/>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97"/>
              </w:rPr>
              <w:t>exercise price</w:t>
            </w:r>
          </w:p>
        </w:tc>
        <w:tc>
          <w:tcPr>
            <w:tcW w:w="10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thousands)</w:t>
            </w:r>
          </w:p>
        </w:tc>
      </w:tr>
      <w:tr>
        <w:trPr>
          <w:trHeight w:val="251"/>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4,022,196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4"/>
        </w:trPr>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40" w:type="dxa"/>
            <w:vAlign w:val="bottom"/>
          </w:tcPr>
          <w:p>
            <w:pPr>
              <w:spacing w:after="0"/>
              <w:rPr>
                <w:sz w:val="21"/>
                <w:szCs w:val="21"/>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8"/>
        </w:trPr>
        <w:tc>
          <w:tcPr>
            <w:tcW w:w="52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(160,418)</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4"/>
        </w:trPr>
        <w:tc>
          <w:tcPr>
            <w:tcW w:w="5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40" w:type="dxa"/>
            <w:vAlign w:val="bottom"/>
          </w:tcPr>
          <w:p>
            <w:pPr>
              <w:spacing w:after="0"/>
              <w:rPr>
                <w:sz w:val="21"/>
                <w:szCs w:val="21"/>
                <w:color w:val="auto"/>
              </w:rPr>
            </w:pPr>
          </w:p>
        </w:tc>
        <w:tc>
          <w:tcPr>
            <w:tcW w:w="15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1"/>
        </w:trPr>
        <w:tc>
          <w:tcPr>
            <w:tcW w:w="5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r>
      <w:tr>
        <w:trPr>
          <w:trHeight w:val="251"/>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Balance at </w:t>
            </w:r>
            <w:r>
              <w:rPr>
                <w:rFonts w:ascii="Times New Roman" w:cs="Times New Roman" w:eastAsia="Times New Roman" w:hAnsi="Times New Roman"/>
                <w:sz w:val="18"/>
                <w:szCs w:val="18"/>
                <w:b w:val="1"/>
                <w:bCs w:val="1"/>
                <w:color w:val="231F20"/>
              </w:rPr>
              <w:t>September 30, 2026</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3,794,694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4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Vested Options Exercisable at </w:t>
            </w:r>
            <w:r>
              <w:rPr>
                <w:rFonts w:ascii="Times New Roman" w:cs="Times New Roman" w:eastAsia="Times New Roman" w:hAnsi="Times New Roman"/>
                <w:sz w:val="18"/>
                <w:szCs w:val="18"/>
                <w:color w:val="231F20"/>
              </w:rPr>
              <w:t>September 30, 2026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3,192,102</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13,198</w:t>
            </w:r>
          </w:p>
        </w:tc>
      </w:tr>
      <w:tr>
        <w:trPr>
          <w:trHeight w:val="495"/>
        </w:trPr>
        <w:tc>
          <w:tcPr>
            <w:tcW w:w="5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8"/>
        </w:trPr>
        <w:tc>
          <w:tcPr>
            <w:tcW w:w="5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6"/>
              </w:rPr>
              <w:t>remaining</w:t>
            </w:r>
          </w:p>
        </w:tc>
        <w:tc>
          <w:tcPr>
            <w:tcW w:w="200" w:type="dxa"/>
            <w:vAlign w:val="bottom"/>
          </w:tcPr>
          <w:p>
            <w:pPr>
              <w:spacing w:after="0"/>
              <w:rPr>
                <w:sz w:val="17"/>
                <w:szCs w:val="17"/>
                <w:color w:val="auto"/>
              </w:rPr>
            </w:pPr>
          </w:p>
        </w:tc>
        <w:tc>
          <w:tcPr>
            <w:tcW w:w="1220" w:type="dxa"/>
            <w:vAlign w:val="bottom"/>
          </w:tcPr>
          <w:p>
            <w:pPr>
              <w:jc w:val="center"/>
              <w:ind w:right="132"/>
              <w:spacing w:after="0" w:line="198" w:lineRule="exact"/>
              <w:rPr>
                <w:sz w:val="20"/>
                <w:szCs w:val="20"/>
                <w:color w:val="auto"/>
              </w:rPr>
            </w:pPr>
            <w:r>
              <w:rPr>
                <w:rFonts w:ascii="Times New Roman" w:cs="Times New Roman" w:eastAsia="Times New Roman" w:hAnsi="Times New Roman"/>
                <w:sz w:val="18"/>
                <w:szCs w:val="18"/>
                <w:b w:val="1"/>
                <w:bCs w:val="1"/>
                <w:color w:val="auto"/>
                <w:w w:val="96"/>
              </w:rPr>
              <w:t>Aggregate</w:t>
            </w:r>
          </w:p>
        </w:tc>
      </w:tr>
      <w:tr>
        <w:trPr>
          <w:trHeight w:val="198"/>
        </w:trPr>
        <w:tc>
          <w:tcPr>
            <w:tcW w:w="5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gridSpan w:val="4"/>
          </w:tcPr>
          <w:p>
            <w:pPr>
              <w:jc w:val="right"/>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 w:type="dxa"/>
            <w:vAlign w:val="bottom"/>
          </w:tcPr>
          <w:p>
            <w:pPr>
              <w:spacing w:after="0"/>
              <w:rPr>
                <w:sz w:val="17"/>
                <w:szCs w:val="17"/>
                <w:color w:val="auto"/>
              </w:rPr>
            </w:pPr>
          </w:p>
        </w:tc>
        <w:tc>
          <w:tcPr>
            <w:tcW w:w="15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contractual term</w:t>
            </w:r>
          </w:p>
        </w:tc>
        <w:tc>
          <w:tcPr>
            <w:tcW w:w="1420" w:type="dxa"/>
            <w:vAlign w:val="bottom"/>
            <w:gridSpan w:val="2"/>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7"/>
              </w:rPr>
              <w:t>intrinsic value (in</w:t>
            </w:r>
          </w:p>
        </w:tc>
      </w:tr>
      <w:tr>
        <w:trPr>
          <w:trHeight w:val="251"/>
        </w:trPr>
        <w:tc>
          <w:tcPr>
            <w:tcW w:w="5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b w:val="1"/>
                <w:bCs w:val="1"/>
                <w:color w:val="auto"/>
                <w:w w:val="97"/>
              </w:rPr>
              <w:t>thousands)</w:t>
            </w:r>
          </w:p>
        </w:tc>
      </w:tr>
      <w:tr>
        <w:trPr>
          <w:trHeight w:val="251"/>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7,488,859</w:t>
            </w: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4"/>
        </w:trPr>
        <w:tc>
          <w:tcPr>
            <w:tcW w:w="5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40" w:type="dxa"/>
            <w:vAlign w:val="bottom"/>
          </w:tcPr>
          <w:p>
            <w:pPr>
              <w:spacing w:after="0"/>
              <w:rPr>
                <w:sz w:val="21"/>
                <w:szCs w:val="21"/>
                <w:color w:val="auto"/>
              </w:rPr>
            </w:pP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8"/>
        </w:trPr>
        <w:tc>
          <w:tcPr>
            <w:tcW w:w="5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(2,981,837)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4"/>
        </w:trPr>
        <w:tc>
          <w:tcPr>
            <w:tcW w:w="52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(315,965)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1"/>
        </w:trPr>
        <w:tc>
          <w:tcPr>
            <w:tcW w:w="5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40" w:type="dxa"/>
            <w:vAlign w:val="bottom"/>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(77,469)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r>
      <w:tr>
        <w:trPr>
          <w:trHeight w:val="251"/>
        </w:trPr>
        <w:tc>
          <w:tcPr>
            <w:tcW w:w="5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Balance at September 30, 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4,113,588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Options Exercisable at September 30, 2025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3,038,899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w:t>
            </w:r>
          </w:p>
        </w:tc>
      </w:tr>
    </w:tbl>
    <w:p>
      <w:pPr>
        <w:spacing w:after="0" w:line="219"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 xml:space="preserve">Total share-based compensation expense related to stock options during the </w:t>
      </w:r>
      <w:r>
        <w:rPr>
          <w:rFonts w:ascii="Times New Roman" w:cs="Times New Roman" w:eastAsia="Times New Roman" w:hAnsi="Times New Roman"/>
          <w:sz w:val="18"/>
          <w:szCs w:val="18"/>
          <w:color w:val="000000"/>
        </w:rPr>
        <w:t>three and nine months</w:t>
      </w:r>
      <w:r>
        <w:rPr>
          <w:rFonts w:ascii="Times New Roman" w:cs="Times New Roman" w:eastAsia="Times New Roman" w:hAnsi="Times New Roman"/>
          <w:sz w:val="18"/>
          <w:szCs w:val="18"/>
          <w:color w:val="231F20"/>
        </w:rPr>
        <w:t xml:space="preserve"> ended September 30, 2026 was $59 and $176, respectively. Total share-based compensation expense related to stock options during the </w:t>
      </w:r>
      <w:r>
        <w:rPr>
          <w:rFonts w:ascii="Times New Roman" w:cs="Times New Roman" w:eastAsia="Times New Roman" w:hAnsi="Times New Roman"/>
          <w:sz w:val="18"/>
          <w:szCs w:val="18"/>
          <w:color w:val="000000"/>
        </w:rPr>
        <w:t>three and nine</w:t>
      </w:r>
      <w:r>
        <w:rPr>
          <w:rFonts w:ascii="Times New Roman" w:cs="Times New Roman" w:eastAsia="Times New Roman" w:hAnsi="Times New Roman"/>
          <w:sz w:val="18"/>
          <w:szCs w:val="18"/>
          <w:color w:val="231F20"/>
        </w:rPr>
        <w:t xml:space="preserve"> months ended September 30, 2025 was $103 and $316, respectively. </w:t>
      </w:r>
      <w:r>
        <w:rPr>
          <w:rFonts w:ascii="Times New Roman" w:cs="Times New Roman" w:eastAsia="Times New Roman" w:hAnsi="Times New Roman"/>
          <w:sz w:val="18"/>
          <w:szCs w:val="18"/>
          <w:color w:val="000000"/>
        </w:rPr>
        <w:t>The total intrinsic value of options exercised during three and nine</w:t>
      </w:r>
      <w:r>
        <w:rPr>
          <w:rFonts w:ascii="Times New Roman" w:cs="Times New Roman" w:eastAsia="Times New Roman" w:hAnsi="Times New Roman"/>
          <w:sz w:val="18"/>
          <w:szCs w:val="18"/>
          <w:color w:val="231F20"/>
        </w:rPr>
        <w:t xml:space="preserve"> months ended September 30, 2026 </w:t>
      </w:r>
      <w:r>
        <w:rPr>
          <w:rFonts w:ascii="Times New Roman" w:cs="Times New Roman" w:eastAsia="Times New Roman" w:hAnsi="Times New Roman"/>
          <w:sz w:val="18"/>
          <w:szCs w:val="18"/>
          <w:color w:val="000000"/>
        </w:rPr>
        <w:t>was $394 and $822, respectively. The total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intrinsic value of options exercised during three and nine </w:t>
      </w:r>
      <w:r>
        <w:rPr>
          <w:rFonts w:ascii="Times New Roman" w:cs="Times New Roman" w:eastAsia="Times New Roman" w:hAnsi="Times New Roman"/>
          <w:sz w:val="18"/>
          <w:szCs w:val="18"/>
          <w:color w:val="231F20"/>
        </w:rPr>
        <w:t>months ended September 30, 2025</w:t>
      </w:r>
      <w:r>
        <w:rPr>
          <w:rFonts w:ascii="Times New Roman" w:cs="Times New Roman" w:eastAsia="Times New Roman" w:hAnsi="Times New Roman"/>
          <w:sz w:val="18"/>
          <w:szCs w:val="18"/>
          <w:color w:val="000000"/>
        </w:rPr>
        <w:t xml:space="preserve"> was $1,184 and $8,460, respectively.</w:t>
      </w:r>
    </w:p>
    <w:p>
      <w:pPr>
        <w:spacing w:after="0" w:line="157"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 xml:space="preserve">At September 30, 2026, there was $170 of total unrecognized compensation cost related to unvested service stock options granted under the 2021 Plan that are expected to vest. That cost is expected to be recognized over a weighted average period of 1.26 years as of September 30, 2026. During the nine </w:t>
      </w:r>
      <w:r>
        <w:rPr>
          <w:rFonts w:ascii="Times New Roman" w:cs="Times New Roman" w:eastAsia="Times New Roman" w:hAnsi="Times New Roman"/>
          <w:sz w:val="18"/>
          <w:szCs w:val="18"/>
          <w:color w:val="000000"/>
        </w:rPr>
        <w:t>months</w:t>
      </w:r>
      <w:r>
        <w:rPr>
          <w:rFonts w:ascii="Times New Roman" w:cs="Times New Roman" w:eastAsia="Times New Roman" w:hAnsi="Times New Roman"/>
          <w:sz w:val="18"/>
          <w:szCs w:val="18"/>
          <w:color w:val="231F20"/>
        </w:rPr>
        <w:t xml:space="preserve"> ended September 30, 2026, the Company received $203 in cash and $620 tax benefit from the stock options exercised. The total fair value of shares of common stock vested during the nine months ended September 30, 2026 and 2025 was $1,958 and </w:t>
      </w:r>
      <w:r>
        <w:rPr>
          <w:rFonts w:ascii="Times New Roman" w:cs="Times New Roman" w:eastAsia="Times New Roman" w:hAnsi="Times New Roman"/>
          <w:sz w:val="18"/>
          <w:szCs w:val="18"/>
          <w:color w:val="000000"/>
        </w:rPr>
        <w:t>$1,163</w:t>
      </w:r>
      <w:r>
        <w:rPr>
          <w:rFonts w:ascii="Times New Roman" w:cs="Times New Roman" w:eastAsia="Times New Roman" w:hAnsi="Times New Roman"/>
          <w:sz w:val="18"/>
          <w:szCs w:val="18"/>
          <w:color w:val="231F20"/>
        </w:rPr>
        <w:t>,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Restricted Stock Units (“RSUs”)</w:t>
      </w:r>
    </w:p>
    <w:p>
      <w:pPr>
        <w:spacing w:after="0" w:line="204" w:lineRule="exact"/>
        <w:rPr>
          <w:sz w:val="20"/>
          <w:szCs w:val="20"/>
          <w:color w:val="auto"/>
        </w:rPr>
      </w:pPr>
    </w:p>
    <w:p>
      <w:pPr>
        <w:jc w:val="both"/>
        <w:ind w:firstLine="317"/>
        <w:spacing w:after="0" w:line="238" w:lineRule="auto"/>
        <w:rPr>
          <w:sz w:val="20"/>
          <w:szCs w:val="20"/>
          <w:color w:val="auto"/>
        </w:rPr>
      </w:pPr>
      <w:r>
        <w:rPr>
          <w:rFonts w:ascii="Times New Roman" w:cs="Times New Roman" w:eastAsia="Times New Roman" w:hAnsi="Times New Roman"/>
          <w:sz w:val="18"/>
          <w:szCs w:val="18"/>
          <w:color w:val="auto"/>
        </w:rPr>
        <w:t xml:space="preserve">The Company has 4,444,129 and 3,436,019 RSUs outstanding as of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and December 31, 2025, respectively. The RSUs are service-based vesting awards and are valued based on the fair value of the Company’s common stock at the date of grant. The weighted-average grant date fair values of the RSUs granted during nine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and 2025, were determined to be $3.22 and $1.27, respectively, based on the fair value of the Company’s common stock at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534035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 summary of the activity for the RSUs for the nine months ended September 30, 2026 and 2025, respectively, are shown in the following table: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44"/>
        </w:trPr>
        <w:tc>
          <w:tcPr>
            <w:tcW w:w="5240" w:type="dxa"/>
            <w:vAlign w:val="bottom"/>
          </w:tcPr>
          <w:p>
            <w:pPr>
              <w:spacing w:after="0"/>
              <w:rPr>
                <w:sz w:val="21"/>
                <w:szCs w:val="21"/>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40" w:type="dxa"/>
            <w:vAlign w:val="bottom"/>
            <w:tcBorders>
              <w:bottom w:val="single" w:sz="8" w:color="auto"/>
            </w:tcBorders>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00" w:type="dxa"/>
            <w:vAlign w:val="bottom"/>
            <w:tcBorders>
              <w:bottom w:val="single" w:sz="8" w:color="auto"/>
            </w:tcBorders>
          </w:tcPr>
          <w:p>
            <w:pPr>
              <w:spacing w:after="0"/>
              <w:rPr>
                <w:sz w:val="21"/>
                <w:szCs w:val="21"/>
                <w:color w:val="auto"/>
              </w:rPr>
            </w:pPr>
          </w:p>
        </w:tc>
      </w:tr>
      <w:tr>
        <w:trPr>
          <w:trHeight w:val="217"/>
        </w:trPr>
        <w:tc>
          <w:tcPr>
            <w:tcW w:w="5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r>
      <w:tr>
        <w:trPr>
          <w:trHeight w:val="198"/>
        </w:trPr>
        <w:tc>
          <w:tcPr>
            <w:tcW w:w="5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gridSpan w:val="3"/>
          </w:tcPr>
          <w:p>
            <w:pPr>
              <w:jc w:val="center"/>
              <w:ind w:right="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right"/>
              <w:ind w:right="12"/>
              <w:spacing w:after="0" w:line="198" w:lineRule="exact"/>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52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20" w:type="dxa"/>
            <w:vAlign w:val="bottom"/>
          </w:tcPr>
          <w:p>
            <w:pPr>
              <w:spacing w:after="0"/>
              <w:rPr>
                <w:sz w:val="20"/>
                <w:szCs w:val="20"/>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38"/>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year</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3,436,019</w:t>
            </w:r>
          </w:p>
        </w:tc>
        <w:tc>
          <w:tcPr>
            <w:tcW w:w="8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1,509,737</w:t>
            </w:r>
          </w:p>
        </w:tc>
        <w:tc>
          <w:tcPr>
            <w:tcW w:w="8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5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2,670,142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4,071,669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1"/>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(1,485,849)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(1,837,836)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(462,841)</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6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end of year</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4,444,129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3,280,729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 xml:space="preserve">The total share-based compensation expense related to RSUs was $1,179 and $2,748, respectively, during the three and nine months ended </w:t>
      </w:r>
      <w:r>
        <w:rPr>
          <w:rFonts w:ascii="Times New Roman" w:cs="Times New Roman" w:eastAsia="Times New Roman" w:hAnsi="Times New Roman"/>
          <w:sz w:val="18"/>
          <w:szCs w:val="18"/>
          <w:color w:val="231F20"/>
        </w:rPr>
        <w:t>September 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2026. </w:t>
      </w:r>
      <w:r>
        <w:rPr>
          <w:rFonts w:ascii="Times New Roman" w:cs="Times New Roman" w:eastAsia="Times New Roman" w:hAnsi="Times New Roman"/>
          <w:sz w:val="18"/>
          <w:szCs w:val="18"/>
          <w:color w:val="000000"/>
        </w:rPr>
        <w:t>The total share-based compensation expense related to RSUs was $863 and $1,723, respectively, during the three and nine months ended September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2025.</w:t>
      </w:r>
    </w:p>
    <w:p>
      <w:pPr>
        <w:spacing w:after="0" w:line="154"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there was $7,890 of unrecognized compensation expense related to the RSUs that are expected to vest. That cost is expected to be recognized over a weighted average period of 2.95 years as of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RSUs granted to Medical Employees and Nonemployees</w:t>
      </w:r>
    </w:p>
    <w:p>
      <w:pPr>
        <w:spacing w:after="0" w:line="167" w:lineRule="exact"/>
        <w:rPr>
          <w:sz w:val="20"/>
          <w:szCs w:val="20"/>
          <w:color w:val="auto"/>
        </w:rPr>
      </w:pPr>
    </w:p>
    <w:p>
      <w:pPr>
        <w:jc w:val="both"/>
        <w:ind w:firstLine="317"/>
        <w:spacing w:after="0" w:line="233" w:lineRule="auto"/>
        <w:rPr>
          <w:sz w:val="20"/>
          <w:szCs w:val="20"/>
          <w:color w:val="auto"/>
        </w:rPr>
      </w:pPr>
      <w:r>
        <w:rPr>
          <w:rFonts w:ascii="Times New Roman" w:cs="Times New Roman" w:eastAsia="Times New Roman" w:hAnsi="Times New Roman"/>
          <w:sz w:val="18"/>
          <w:szCs w:val="18"/>
          <w:color w:val="231F20"/>
        </w:rPr>
        <w:t xml:space="preserve">In 2022, the Company entered into arrangements with certain medical directors and supervisors of advanced practice providers employed by or engaged as independent contractors of the Company to grant RSUs of the Company (“Medical RSUs”). Granting of each annual Medical RSU award by the Company is dependent on the participant performing a specified minimum number of service hours during the calendar year (“One-Year Term”) and further contingent upon the participant’s continued service to, or employment by, the Company through the grant date. The Company’s regular grant date for these Medical RSU awards is in the first quarter of the calendar year following the One-Year Term. During the </w:t>
      </w:r>
      <w:r>
        <w:rPr>
          <w:rFonts w:ascii="Times New Roman" w:cs="Times New Roman" w:eastAsia="Times New Roman" w:hAnsi="Times New Roman"/>
          <w:sz w:val="18"/>
          <w:szCs w:val="18"/>
          <w:color w:val="000000"/>
        </w:rPr>
        <w:t>nine</w:t>
      </w:r>
      <w:r>
        <w:rPr>
          <w:rFonts w:ascii="Times New Roman" w:cs="Times New Roman" w:eastAsia="Times New Roman" w:hAnsi="Times New Roman"/>
          <w:sz w:val="18"/>
          <w:szCs w:val="18"/>
          <w:color w:val="231F20"/>
        </w:rPr>
        <w:t xml:space="preserve"> months ended September 30, 2026 and 2025, 332,803 and 997,806 Medical RSU awards were granted, respectively.</w:t>
      </w:r>
    </w:p>
    <w:p>
      <w:pPr>
        <w:spacing w:after="0" w:line="3" w:lineRule="exact"/>
        <w:rPr>
          <w:sz w:val="20"/>
          <w:szCs w:val="20"/>
          <w:color w:val="auto"/>
        </w:rPr>
      </w:pPr>
    </w:p>
    <w:p>
      <w:pPr>
        <w:jc w:val="both"/>
        <w:ind w:firstLine="317"/>
        <w:spacing w:after="0" w:line="235" w:lineRule="auto"/>
        <w:rPr>
          <w:sz w:val="20"/>
          <w:szCs w:val="20"/>
          <w:color w:val="auto"/>
        </w:rPr>
      </w:pPr>
      <w:r>
        <w:rPr>
          <w:rFonts w:ascii="Times New Roman" w:cs="Times New Roman" w:eastAsia="Times New Roman" w:hAnsi="Times New Roman"/>
          <w:sz w:val="18"/>
          <w:szCs w:val="18"/>
          <w:color w:val="231F20"/>
        </w:rPr>
        <w:t>The number of Medical RSUs granted to each such participant is determined by the fair market value of the Company's stock price at the grant date and are vested at the grant date. There were no unvested Medical RSU awards outstanding as of September 30, 2026 or 2025.</w:t>
      </w:r>
    </w:p>
    <w:p>
      <w:pPr>
        <w:spacing w:after="0" w:line="222"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A summary of the activity for the equity-classified Medical RSUs for the nine months ended September 30, 2026 and 2025, respectively, is shown in the following table:</w:t>
      </w:r>
    </w:p>
    <w:p>
      <w:pPr>
        <w:spacing w:after="0" w:line="17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24130</wp:posOffset>
            </wp:positionV>
            <wp:extent cx="2834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34005" cy="8255"/>
                    </a:xfrm>
                    <a:prstGeom prst="rect">
                      <a:avLst/>
                    </a:prstGeom>
                    <a:noFill/>
                  </pic:spPr>
                </pic:pic>
              </a:graphicData>
            </a:graphic>
          </wp:anchor>
        </w:drawing>
      </w:r>
    </w:p>
    <w:p>
      <w:pPr>
        <w:spacing w:after="0" w:line="37"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7440" w:type="dxa"/>
            <w:vAlign w:val="bottom"/>
            <w:gridSpan w:val="2"/>
          </w:tcPr>
          <w:p>
            <w:pPr>
              <w:ind w:left="69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8"/>
        </w:trPr>
        <w:tc>
          <w:tcPr>
            <w:tcW w:w="6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3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332,803</w:t>
            </w:r>
          </w:p>
        </w:tc>
        <w:tc>
          <w:tcPr>
            <w:tcW w:w="10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997,806</w:t>
            </w:r>
          </w:p>
        </w:tc>
      </w:tr>
      <w:tr>
        <w:trPr>
          <w:trHeight w:val="251"/>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(332,803)</w:t>
            </w:r>
          </w:p>
        </w:tc>
        <w:tc>
          <w:tcPr>
            <w:tcW w:w="100" w:type="dxa"/>
            <w:vAlign w:val="bottom"/>
            <w:shd w:val="clear" w:color="auto" w:fill="CCEEFF"/>
          </w:tcPr>
          <w:p>
            <w:pPr>
              <w:spacing w:after="0"/>
              <w:rPr>
                <w:sz w:val="21"/>
                <w:szCs w:val="21"/>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(997,806)</w:t>
            </w:r>
          </w:p>
        </w:tc>
      </w:tr>
      <w:tr>
        <w:trPr>
          <w:trHeight w:val="250"/>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 xml:space="preserve">Total compensation costs for Medical RSUs was $0 and </w:t>
      </w:r>
      <w:r>
        <w:rPr>
          <w:rFonts w:ascii="Times New Roman" w:cs="Times New Roman" w:eastAsia="Times New Roman" w:hAnsi="Times New Roman"/>
          <w:sz w:val="18"/>
          <w:szCs w:val="18"/>
          <w:color w:val="000000"/>
        </w:rPr>
        <w:t>$1,032</w:t>
      </w:r>
      <w:r>
        <w:rPr>
          <w:rFonts w:ascii="Times New Roman" w:cs="Times New Roman" w:eastAsia="Times New Roman" w:hAnsi="Times New Roman"/>
          <w:sz w:val="18"/>
          <w:szCs w:val="18"/>
          <w:color w:val="231F20"/>
        </w:rPr>
        <w:t xml:space="preserve"> for the three and nine months ended September 30, 2026, respectively. Total compensation costs for Medical RSUs was $0 and </w:t>
      </w:r>
      <w:r>
        <w:rPr>
          <w:rFonts w:ascii="Times New Roman" w:cs="Times New Roman" w:eastAsia="Times New Roman" w:hAnsi="Times New Roman"/>
          <w:sz w:val="18"/>
          <w:szCs w:val="18"/>
          <w:color w:val="000000"/>
        </w:rPr>
        <w:t>$1,137</w:t>
      </w:r>
      <w:r>
        <w:rPr>
          <w:rFonts w:ascii="Times New Roman" w:cs="Times New Roman" w:eastAsia="Times New Roman" w:hAnsi="Times New Roman"/>
          <w:sz w:val="18"/>
          <w:szCs w:val="18"/>
          <w:color w:val="231F20"/>
        </w:rPr>
        <w:t xml:space="preserve"> for the three and nine months ended September 30, 2025, respectively. As of September 30, 2026, all Medical RSUs had vested.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Employee Stock Purchase Plan (ESPP)</w:t>
      </w:r>
    </w:p>
    <w:p>
      <w:pPr>
        <w:spacing w:after="0" w:line="191"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In connection with the Business Combination, the Company adopted the 2021 Employee Stock Purchase Plan ("2021 ESPP”). The 2021 ESPP has reserved 3,591,088 shares of the Company’s common stock for issuance to eligible employees, who are entitled to purchase shares of common stock equal to 85% of the lower of the closing price on the purchase date or the six month closing price average during the contribution period through accumulated payroll deductions. During the three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635635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231F20"/>
        </w:rPr>
        <w:t>nine months ended September 30, 2026, the Company issued 55,309 and 139,701 shares of common stock under the ESPP and recognized $109 and $148, respectively, in share-based compensation expense. During the three and nine months ended September 30, 2025, the Company issued 59,688 shares of common stock under the ESPP and recognized $58 in share-based compensation expense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15. Commitments and Contingencies</w:t>
      </w:r>
    </w:p>
    <w:p>
      <w:pPr>
        <w:spacing w:after="0" w:line="191" w:lineRule="exact"/>
        <w:rPr>
          <w:sz w:val="20"/>
          <w:szCs w:val="20"/>
          <w:color w:val="auto"/>
        </w:rPr>
      </w:pPr>
    </w:p>
    <w:p>
      <w:pPr>
        <w:jc w:val="both"/>
        <w:ind w:firstLine="317"/>
        <w:spacing w:after="0" w:line="269" w:lineRule="auto"/>
        <w:rPr>
          <w:sz w:val="20"/>
          <w:szCs w:val="20"/>
          <w:color w:val="auto"/>
        </w:rPr>
      </w:pPr>
      <w:r>
        <w:rPr>
          <w:rFonts w:ascii="Times New Roman" w:cs="Times New Roman" w:eastAsia="Times New Roman" w:hAnsi="Times New Roman"/>
          <w:sz w:val="17"/>
          <w:szCs w:val="17"/>
          <w:color w:val="231F20"/>
        </w:rPr>
        <w:t>The Company evaluates contingencies based upon available evidence. In addition, allowances for losses are provided each year for disputed items which have continuing significance. The Company believes that allowances for losses have been provided to the extent necessary, and that its assessment of contingencies is reasonable. Due to the inherent uncertainties and subjectivity involved in accounting for contingencies, there is at least a reasonable possibility that recorded estimates will change by a material amount in the near term. To the extent that the resolution of contingencies results in amounts which vary from management’s estimates, future operating results will be charged or credited. The principal commitments and contingencies are described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Matters</w:t>
      </w:r>
    </w:p>
    <w:p>
      <w:pPr>
        <w:spacing w:after="0" w:line="178"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231F20"/>
        </w:rPr>
        <w:t xml:space="preserve">The Company is subject to certain outside claims and litigation arising in the ordinary course of business. In the opinion of management, the outcome of such matters is not expected to have a material effect on the Company’s condensed consolidated financial statements. Loss contingencies entail uncertainty and a possibility of loss to an entity. If the loss is probable and the amount of loss can be reasonably estimated, the loss is accrued in accordance with ASC Subtopic 450-20, </w:t>
      </w:r>
      <w:r>
        <w:rPr>
          <w:rFonts w:ascii="Times New Roman" w:cs="Times New Roman" w:eastAsia="Times New Roman" w:hAnsi="Times New Roman"/>
          <w:sz w:val="18"/>
          <w:szCs w:val="18"/>
          <w:i w:val="1"/>
          <w:iCs w:val="1"/>
          <w:color w:val="231F20"/>
        </w:rPr>
        <w:t>Loss Contingencies</w:t>
      </w:r>
      <w:r>
        <w:rPr>
          <w:rFonts w:ascii="Times New Roman" w:cs="Times New Roman" w:eastAsia="Times New Roman" w:hAnsi="Times New Roman"/>
          <w:sz w:val="18"/>
          <w:szCs w:val="18"/>
          <w:color w:val="231F20"/>
        </w:rPr>
        <w:t>.</w:t>
      </w:r>
    </w:p>
    <w:p>
      <w:pPr>
        <w:spacing w:after="0"/>
        <w:rPr>
          <w:sz w:val="20"/>
          <w:szCs w:val="20"/>
          <w:color w:val="auto"/>
        </w:rPr>
      </w:pPr>
      <w:r>
        <w:rPr>
          <w:rFonts w:ascii="Times New Roman" w:cs="Times New Roman" w:eastAsia="Times New Roman" w:hAnsi="Times New Roman"/>
          <w:sz w:val="18"/>
          <w:szCs w:val="18"/>
          <w:b w:val="1"/>
          <w:bCs w:val="1"/>
          <w:color w:val="231F20"/>
        </w:rPr>
        <w:t>Indemnities</w:t>
      </w:r>
    </w:p>
    <w:p>
      <w:pPr>
        <w:spacing w:after="0" w:line="172"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231F20"/>
        </w:rPr>
        <w:t>The Company’s Amended and Restated Certificate of Incorporation and amended and restated bylaws require it, among other things, to indemnify any director or officer against specified expenses and liabilities, such as attorneys’ fees, judgments, fines, and settlements, paid by the individual in connection with any action, suit, or proceeding arising out of the individual’s status or service as its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on the maximum potential future payments it could be obligated to make.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Health Insurance Portability and Accountability Act</w:t>
      </w:r>
    </w:p>
    <w:p>
      <w:pPr>
        <w:spacing w:after="0" w:line="178"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231F20"/>
        </w:rPr>
        <w:t>The Health Insurance Portability and Accountability Act (“HIPAA”) assures health insurance portability, reduces healthcare fraud and abuse, guarantees security and privacy of health information, and enforces standards for health information. The Health Information Technology for Economic and Clinical Health Act (“HITECH”) imposes notification requirements in the event of certain security breaches relating to protected health information. Organizations are subject to significant fines and penalties if found not to be compliant with the provisions outlined in these regulations. The Company believes it is in compliance with these laws.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Regulatory Matters</w:t>
      </w:r>
    </w:p>
    <w:p>
      <w:pPr>
        <w:spacing w:after="0" w:line="178"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Laws and regulations governing the Medicare program and healthcare generally, are complex and subject to interpretation. The Company believes that it is in compliance with all applicable laws and regulations and is not aware of any pending or threatened investigations involving allegations of potential wrongdoing. While no regulatory inquiries have been made, compliance with such laws and regulations can be subject to future government review and interpretation as well as significant regulatory action including fines, penalties, and exclusion from the Medicare and Medi-Cal programs.</w:t>
      </w:r>
    </w:p>
    <w:p>
      <w:pPr>
        <w:spacing w:after="0" w:line="144"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Many of the Company’s payor and provider contracts are complex in nature and may be subject to differing interpretations regarding amounts due for the provision of medical services. Such differing interpretations may not come to light until a substantial period of time has passed following contract implementation. Liabilities for claims disputes are recorded when the loss is probable and can be estimated. Any adjustments to reserves are reflected in current operations. The Company does not have any reserves for regulatory matters as of September 30, 2026 and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Liability Insurance</w:t>
      </w:r>
    </w:p>
    <w:p>
      <w:pPr>
        <w:spacing w:after="0" w:line="17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The Company believes that its insurance coverage is appropriate based upon the Company’s claims experience and the nature and risks of the Company’s business. In addition to the known incidents that have resulted in the assertion of claims, the Company cannot be certain that its insurance coverage will be adequate to cover liabilities, arising out of claims asserted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633095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against the Company or the Company’s affiliated professional organizations, in the future where the outcomes of such claims are unfavorable.</w:t>
      </w:r>
    </w:p>
    <w:p>
      <w:pPr>
        <w:spacing w:after="0" w:line="176"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231F20"/>
        </w:rPr>
        <w:t>The Company believes that the ultimate resolution of all pending claims, including liabilities in excess of the Company’s insurance coverage, will not have a material adverse effect on the Company’s financial position, results of operations or cash flows; however, there can be no assurance that future claims will not have such a material adverse effect on the Company’s business. Contracted physicians are required to obtain their own insurance coverage.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78"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auto"/>
        </w:rPr>
        <w:t>The Company, along with certain of the Company's subsidiaries which are parties to the Term Loan Agreement (“Guarantors”), have pledged a first priority security interest in an lien on substantially all of their respective personal and real property, as collateral security for the payment of outstanding obligations under the Term Loan Agreement pursuant to the Security Agreement. In addition, obligations under the Revolving Loan Agreement are secured by substantially all of SOM, LLC’s collateral. See Note 11.</w:t>
      </w:r>
    </w:p>
    <w:p>
      <w:pPr>
        <w:ind w:left="320"/>
        <w:spacing w:after="0"/>
        <w:rPr>
          <w:sz w:val="20"/>
          <w:szCs w:val="20"/>
          <w:color w:val="auto"/>
        </w:rPr>
      </w:pPr>
      <w:r>
        <w:rPr>
          <w:rFonts w:ascii="Times New Roman" w:cs="Times New Roman" w:eastAsia="Times New Roman" w:hAnsi="Times New Roman"/>
          <w:sz w:val="18"/>
          <w:szCs w:val="18"/>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16. Variable Interest Entities</w:t>
      </w:r>
    </w:p>
    <w:p>
      <w:pPr>
        <w:spacing w:after="0" w:line="15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231F20"/>
        </w:rPr>
        <w:t xml:space="preserve">The Company prepares its condensed consolidated financial statements in accordance with Accounting Standards Codification Topic No. 810, </w:t>
      </w:r>
      <w:r>
        <w:rPr>
          <w:rFonts w:ascii="Times New Roman" w:cs="Times New Roman" w:eastAsia="Times New Roman" w:hAnsi="Times New Roman"/>
          <w:sz w:val="18"/>
          <w:szCs w:val="18"/>
          <w:i w:val="1"/>
          <w:iCs w:val="1"/>
          <w:color w:val="231F20"/>
        </w:rPr>
        <w:t xml:space="preserve">Consolidations </w:t>
      </w:r>
      <w:r>
        <w:rPr>
          <w:rFonts w:ascii="Times New Roman" w:cs="Times New Roman" w:eastAsia="Times New Roman" w:hAnsi="Times New Roman"/>
          <w:sz w:val="18"/>
          <w:szCs w:val="18"/>
          <w:color w:val="231F20"/>
        </w:rPr>
        <w:t>(“ASC 810”), which provides for the consolidation of VIEs of which an entity is the primary beneficiary.</w:t>
      </w:r>
    </w:p>
    <w:p>
      <w:pPr>
        <w:spacing w:after="0" w:line="128" w:lineRule="exact"/>
        <w:rPr>
          <w:sz w:val="20"/>
          <w:szCs w:val="20"/>
          <w:color w:val="auto"/>
        </w:rPr>
      </w:pPr>
    </w:p>
    <w:p>
      <w:pPr>
        <w:ind w:right="200" w:firstLine="317"/>
        <w:spacing w:after="0" w:line="234" w:lineRule="auto"/>
        <w:rPr>
          <w:sz w:val="20"/>
          <w:szCs w:val="20"/>
          <w:color w:val="auto"/>
        </w:rPr>
      </w:pPr>
      <w:r>
        <w:rPr>
          <w:rFonts w:ascii="Times New Roman" w:cs="Times New Roman" w:eastAsia="Times New Roman" w:hAnsi="Times New Roman"/>
          <w:sz w:val="18"/>
          <w:szCs w:val="18"/>
          <w:color w:val="auto"/>
        </w:rPr>
        <w:t>Pursuant to the MSAs established with the Starling PCs, SOM, LLC, one of the Company's wholly owned subsidiaries, is entitled to receive a management fee, which represents a variable interest in and the right to receive the benefits of the Starling PCs. Through the terms of the MSAs, SOM, LLC receives the right to direct the most significant activities of the Starling PCs. Therefore, the Starling PCs are variable interest entities and SOM, LLC is the primary beneficiary that consolidates the Starling PCs and their subsidiaries.</w:t>
      </w:r>
    </w:p>
    <w:p>
      <w:pPr>
        <w:spacing w:after="0" w:line="223"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231F20"/>
        </w:rPr>
        <w:t xml:space="preserve">The condensed consolidated financial statements include the accounts of </w:t>
      </w:r>
      <w:r>
        <w:rPr>
          <w:rFonts w:ascii="Times New Roman" w:cs="Times New Roman" w:eastAsia="Times New Roman" w:hAnsi="Times New Roman"/>
          <w:sz w:val="18"/>
          <w:szCs w:val="18"/>
          <w:color w:val="000000"/>
        </w:rPr>
        <w:t>Starling</w:t>
      </w:r>
      <w:r>
        <w:rPr>
          <w:rFonts w:ascii="Times New Roman" w:cs="Times New Roman" w:eastAsia="Times New Roman" w:hAnsi="Times New Roman"/>
          <w:sz w:val="18"/>
          <w:szCs w:val="18"/>
          <w:color w:val="231F20"/>
        </w:rPr>
        <w:t xml:space="preserve"> and its subsidiaries and VIEs. All inter-company profits, transactions, and balances have been eliminated upon consolidation.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31"/>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62,067</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5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108,886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116,080</w:t>
            </w:r>
          </w:p>
        </w:tc>
        <w:tc>
          <w:tcPr>
            <w:tcW w:w="1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78,826</w:t>
            </w:r>
          </w:p>
        </w:tc>
        <w:tc>
          <w:tcPr>
            <w:tcW w:w="140" w:type="dxa"/>
            <w:vAlign w:val="bottom"/>
          </w:tcPr>
          <w:p>
            <w:pPr>
              <w:spacing w:after="0"/>
              <w:rPr>
                <w:sz w:val="21"/>
                <w:szCs w:val="21"/>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23,771</w:t>
            </w:r>
          </w:p>
        </w:tc>
        <w:tc>
          <w:tcPr>
            <w:tcW w:w="1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Amounts due to affiliates</w:t>
            </w: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255,506</w:t>
            </w:r>
          </w:p>
        </w:tc>
        <w:tc>
          <w:tcPr>
            <w:tcW w:w="1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358,103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358,169</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2"/>
        </w:trPr>
        <w:tc>
          <w:tcPr>
            <w:tcW w:w="80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Single physician holders, who are officers of the Company, retain equity ownership in Starling CA, Starling FL, Starling TX, and Starling OR, which represents nominal noncontrolling interests. However, the noncontrolling interests do not participate in the profit or loss of Starling CA, Starling FL, Starling TX, and Starling 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17. Goodwill and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Intangible Assets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September 30, 2026, the Company’s intangible assets, net consists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6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198"/>
        </w:trPr>
        <w:tc>
          <w:tcPr>
            <w:tcW w:w="4660" w:type="dxa"/>
            <w:vAlign w:val="bottom"/>
          </w:tcPr>
          <w:p>
            <w:pPr>
              <w:spacing w:after="0"/>
              <w:rPr>
                <w:sz w:val="17"/>
                <w:szCs w:val="17"/>
                <w:color w:val="auto"/>
              </w:rPr>
            </w:pPr>
          </w:p>
        </w:tc>
        <w:tc>
          <w:tcPr>
            <w:tcW w:w="166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40" w:type="dxa"/>
            <w:vAlign w:val="bottom"/>
          </w:tcPr>
          <w:p>
            <w:pPr>
              <w:spacing w:after="0"/>
              <w:rPr>
                <w:sz w:val="17"/>
                <w:szCs w:val="17"/>
                <w:color w:val="auto"/>
              </w:rPr>
            </w:pPr>
          </w:p>
        </w:tc>
        <w:tc>
          <w:tcPr>
            <w:tcW w:w="1520" w:type="dxa"/>
            <w:vAlign w:val="bottom"/>
            <w:gridSpan w:val="2"/>
          </w:tcPr>
          <w:p>
            <w:pPr>
              <w:jc w:val="center"/>
              <w:ind w:right="280"/>
              <w:spacing w:after="0" w:line="198" w:lineRule="exact"/>
              <w:rPr>
                <w:sz w:val="20"/>
                <w:szCs w:val="20"/>
                <w:color w:val="auto"/>
              </w:rPr>
            </w:pPr>
            <w:r>
              <w:rPr>
                <w:rFonts w:ascii="Times New Roman" w:cs="Times New Roman" w:eastAsia="Times New Roman" w:hAnsi="Times New Roman"/>
                <w:sz w:val="18"/>
                <w:szCs w:val="18"/>
                <w:b w:val="1"/>
                <w:bCs w:val="1"/>
                <w:color w:val="auto"/>
                <w:w w:val="96"/>
              </w:rPr>
              <w:t>Gross carrying</w:t>
            </w:r>
          </w:p>
        </w:tc>
        <w:tc>
          <w:tcPr>
            <w:tcW w:w="180" w:type="dxa"/>
            <w:vAlign w:val="bottom"/>
          </w:tcPr>
          <w:p>
            <w:pPr>
              <w:spacing w:after="0"/>
              <w:rPr>
                <w:sz w:val="17"/>
                <w:szCs w:val="17"/>
                <w:color w:val="auto"/>
              </w:rPr>
            </w:pPr>
          </w:p>
        </w:tc>
        <w:tc>
          <w:tcPr>
            <w:tcW w:w="15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Pr>
          <w:p>
            <w:pPr>
              <w:spacing w:after="0"/>
              <w:rPr>
                <w:sz w:val="17"/>
                <w:szCs w:val="17"/>
                <w:color w:val="auto"/>
              </w:rPr>
            </w:pPr>
          </w:p>
        </w:tc>
        <w:tc>
          <w:tcPr>
            <w:tcW w:w="1320" w:type="dxa"/>
            <w:vAlign w:val="bottom"/>
          </w:tcPr>
          <w:p>
            <w:pPr>
              <w:jc w:val="right"/>
              <w:ind w:right="192"/>
              <w:spacing w:after="0" w:line="198" w:lineRule="exact"/>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40" w:type="dxa"/>
            <w:vAlign w:val="bottom"/>
          </w:tcPr>
          <w:p>
            <w:pPr>
              <w:spacing w:after="0"/>
              <w:rPr>
                <w:sz w:val="21"/>
                <w:szCs w:val="21"/>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1"/>
                <w:szCs w:val="21"/>
                <w:color w:val="auto"/>
              </w:rPr>
            </w:pPr>
          </w:p>
        </w:tc>
        <w:tc>
          <w:tcPr>
            <w:tcW w:w="13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5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8"/>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Payor contracts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13 years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4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10 years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r>
      <w:tr>
        <w:trPr>
          <w:trHeight w:val="251"/>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Noncompete agreements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8 years</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5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29,693</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r>
      <w:tr>
        <w:trPr>
          <w:trHeight w:val="20"/>
        </w:trPr>
        <w:tc>
          <w:tcPr>
            <w:tcW w:w="4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As of December 31, 2025, the Company’s intangible assets, net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1"/>
        </w:trPr>
        <w:tc>
          <w:tcPr>
            <w:tcW w:w="466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amortization</w:t>
            </w:r>
          </w:p>
        </w:tc>
        <w:tc>
          <w:tcPr>
            <w:tcW w:w="14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Gross carrying</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40" w:type="dxa"/>
            <w:vAlign w:val="bottom"/>
          </w:tcPr>
          <w:p>
            <w:pPr>
              <w:spacing w:after="0"/>
              <w:rPr>
                <w:sz w:val="18"/>
                <w:szCs w:val="18"/>
                <w:color w:val="auto"/>
              </w:rPr>
            </w:pP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40" w:type="dxa"/>
            <w:vAlign w:val="bottom"/>
          </w:tcPr>
          <w:p>
            <w:pPr>
              <w:spacing w:after="0"/>
              <w:rPr>
                <w:sz w:val="21"/>
                <w:szCs w:val="21"/>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1"/>
                <w:szCs w:val="21"/>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1"/>
                <w:szCs w:val="21"/>
                <w:color w:val="auto"/>
              </w:rPr>
            </w:pPr>
          </w:p>
        </w:tc>
      </w:tr>
      <w:tr>
        <w:trPr>
          <w:trHeight w:val="231"/>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5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320" w:type="dxa"/>
            <w:vAlign w:val="bottom"/>
            <w:tcBorders>
              <w:top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Amortizing intangible assets:</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58"/>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Payor contracts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13 years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c>
          <w:tcPr>
            <w:tcW w:w="40" w:type="dxa"/>
            <w:vAlign w:val="bottom"/>
          </w:tcPr>
          <w:p>
            <w:pPr>
              <w:spacing w:after="0"/>
              <w:rPr>
                <w:sz w:val="22"/>
                <w:szCs w:val="22"/>
                <w:color w:val="auto"/>
              </w:rPr>
            </w:pPr>
          </w:p>
        </w:tc>
      </w:tr>
      <w:tr>
        <w:trPr>
          <w:trHeight w:val="244"/>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10 years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40" w:type="dxa"/>
            <w:vAlign w:val="bottom"/>
          </w:tcPr>
          <w:p>
            <w:pPr>
              <w:spacing w:after="0"/>
              <w:rPr>
                <w:sz w:val="21"/>
                <w:szCs w:val="21"/>
                <w:color w:val="auto"/>
              </w:rPr>
            </w:pPr>
          </w:p>
        </w:tc>
      </w:tr>
      <w:tr>
        <w:trPr>
          <w:trHeight w:val="251"/>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Clinical contracts and noncompete agreements</w:t>
            </w: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8 years</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4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40" w:type="dxa"/>
            <w:vAlign w:val="bottom"/>
          </w:tcPr>
          <w:p>
            <w:pPr>
              <w:spacing w:after="0"/>
              <w:rPr>
                <w:sz w:val="21"/>
                <w:szCs w:val="21"/>
                <w:color w:val="auto"/>
              </w:rPr>
            </w:pPr>
          </w:p>
        </w:tc>
      </w:tr>
      <w:tr>
        <w:trPr>
          <w:trHeight w:val="25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1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(18,752)</w:t>
            </w:r>
          </w:p>
        </w:tc>
        <w:tc>
          <w:tcPr>
            <w:tcW w:w="140" w:type="dxa"/>
            <w:vAlign w:val="bottom"/>
          </w:tcPr>
          <w:p>
            <w:pPr>
              <w:spacing w:after="0"/>
              <w:rPr>
                <w:sz w:val="21"/>
                <w:szCs w:val="21"/>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40" w:type="dxa"/>
            <w:vAlign w:val="bottom"/>
          </w:tcPr>
          <w:p>
            <w:pPr>
              <w:spacing w:after="0"/>
              <w:rPr>
                <w:sz w:val="21"/>
                <w:szCs w:val="21"/>
                <w:color w:val="auto"/>
              </w:rPr>
            </w:pPr>
          </w:p>
        </w:tc>
      </w:tr>
      <w:tr>
        <w:trPr>
          <w:trHeight w:val="20"/>
        </w:trPr>
        <w:tc>
          <w:tcPr>
            <w:tcW w:w="6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4"/>
        </w:trPr>
        <w:tc>
          <w:tcPr>
            <w:tcW w:w="9660" w:type="dxa"/>
            <w:vAlign w:val="bottom"/>
            <w:gridSpan w:val="9"/>
          </w:tcPr>
          <w:p>
            <w:pPr>
              <w:ind w:left="320"/>
              <w:spacing w:after="0"/>
              <w:rPr>
                <w:sz w:val="20"/>
                <w:szCs w:val="20"/>
                <w:color w:val="auto"/>
              </w:rPr>
            </w:pPr>
            <w:r>
              <w:rPr>
                <w:rFonts w:ascii="Times New Roman" w:cs="Times New Roman" w:eastAsia="Times New Roman" w:hAnsi="Times New Roman"/>
                <w:sz w:val="18"/>
                <w:szCs w:val="18"/>
                <w:color w:val="auto"/>
                <w:w w:val="99"/>
              </w:rPr>
              <w:t xml:space="preserve">The estimated aggregate amortization expense for each of the five succeeding fiscal years as of </w:t>
            </w:r>
            <w:r>
              <w:rPr>
                <w:rFonts w:ascii="Times New Roman" w:cs="Times New Roman" w:eastAsia="Times New Roman" w:hAnsi="Times New Roman"/>
                <w:sz w:val="18"/>
                <w:szCs w:val="18"/>
                <w:color w:val="231F20"/>
                <w:w w:val="99"/>
              </w:rPr>
              <w:t>September 30, 2026</w:t>
            </w:r>
            <w:r>
              <w:rPr>
                <w:rFonts w:ascii="Times New Roman" w:cs="Times New Roman" w:eastAsia="Times New Roman" w:hAnsi="Times New Roman"/>
                <w:sz w:val="18"/>
                <w:szCs w:val="18"/>
                <w:color w:val="auto"/>
                <w:w w:val="99"/>
              </w:rPr>
              <w:t xml:space="preserve"> is as follows: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Borders>
              <w:bottom w:val="single" w:sz="8" w:color="auto"/>
            </w:tcBorders>
          </w:tcPr>
          <w:p>
            <w:pPr>
              <w:spacing w:after="0"/>
              <w:rPr>
                <w:sz w:val="24"/>
                <w:szCs w:val="24"/>
                <w:color w:val="auto"/>
              </w:rPr>
            </w:pPr>
          </w:p>
        </w:tc>
      </w:tr>
      <w:tr>
        <w:trPr>
          <w:trHeight w:val="23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1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tcPr>
          <w:p>
            <w:pPr>
              <w:spacing w:after="0"/>
              <w:rPr>
                <w:sz w:val="21"/>
                <w:szCs w:val="21"/>
                <w:color w:val="auto"/>
              </w:rPr>
            </w:pPr>
          </w:p>
        </w:tc>
      </w:tr>
      <w:tr>
        <w:trPr>
          <w:trHeight w:val="25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40" w:type="dxa"/>
            <w:vAlign w:val="bottom"/>
            <w:shd w:val="clear" w:color="auto" w:fill="CCEEFF"/>
          </w:tcPr>
          <w:p>
            <w:pPr>
              <w:spacing w:after="0"/>
              <w:rPr>
                <w:sz w:val="22"/>
                <w:szCs w:val="22"/>
                <w:color w:val="auto"/>
              </w:rPr>
            </w:pP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40" w:type="dxa"/>
            <w:vAlign w:val="bottom"/>
          </w:tcPr>
          <w:p>
            <w:pPr>
              <w:spacing w:after="0"/>
              <w:rPr>
                <w:sz w:val="21"/>
                <w:szCs w:val="21"/>
                <w:color w:val="auto"/>
              </w:rPr>
            </w:pPr>
          </w:p>
        </w:tc>
      </w:tr>
      <w:tr>
        <w:trPr>
          <w:trHeight w:val="25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shd w:val="clear" w:color="auto" w:fill="CCEEFF"/>
          </w:tcPr>
          <w:p>
            <w:pPr>
              <w:spacing w:after="0"/>
              <w:rPr>
                <w:sz w:val="22"/>
                <w:szCs w:val="22"/>
                <w:color w:val="auto"/>
              </w:rPr>
            </w:pPr>
          </w:p>
        </w:tc>
      </w:tr>
      <w:tr>
        <w:trPr>
          <w:trHeight w:val="24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Pr>
          <w:p>
            <w:pPr>
              <w:spacing w:after="0"/>
              <w:rPr>
                <w:sz w:val="21"/>
                <w:szCs w:val="21"/>
                <w:color w:val="auto"/>
              </w:rPr>
            </w:pPr>
          </w:p>
        </w:tc>
      </w:tr>
      <w:tr>
        <w:trPr>
          <w:trHeight w:val="251"/>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40" w:type="dxa"/>
            <w:vAlign w:val="bottom"/>
            <w:tcBorders>
              <w:bottom w:val="single" w:sz="8" w:color="auto"/>
            </w:tcBorders>
            <w:shd w:val="clear" w:color="auto" w:fill="CCEEFF"/>
          </w:tcPr>
          <w:p>
            <w:pPr>
              <w:spacing w:after="0"/>
              <w:rPr>
                <w:sz w:val="21"/>
                <w:szCs w:val="21"/>
                <w:color w:val="auto"/>
              </w:rPr>
            </w:pPr>
          </w:p>
        </w:tc>
      </w:tr>
      <w:tr>
        <w:trPr>
          <w:trHeight w:val="251"/>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40" w:type="dxa"/>
            <w:vAlign w:val="bottom"/>
          </w:tcPr>
          <w:p>
            <w:pPr>
              <w:spacing w:after="0"/>
              <w:rPr>
                <w:sz w:val="21"/>
                <w:szCs w:val="21"/>
                <w:color w:val="auto"/>
              </w:rPr>
            </w:pPr>
          </w:p>
        </w:tc>
      </w:tr>
      <w:tr>
        <w:trPr>
          <w:trHeight w:val="20"/>
        </w:trPr>
        <w:tc>
          <w:tcPr>
            <w:tcW w:w="4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aggregate amortization expense during the three months ended September 30, 2026 and 2025 was $715 and $717, respectively. The aggregate amortization expense during the nine months ended September 30, 2026 and 2025 was $2,146 and $2,264,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625475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Goodwill</w:t>
      </w:r>
    </w:p>
    <w:p>
      <w:pPr>
        <w:spacing w:after="0" w:line="178" w:lineRule="exact"/>
        <w:rPr>
          <w:sz w:val="20"/>
          <w:szCs w:val="20"/>
          <w:color w:val="auto"/>
        </w:rPr>
      </w:pPr>
    </w:p>
    <w:p>
      <w:pPr>
        <w:ind w:firstLine="317"/>
        <w:spacing w:after="0" w:line="300" w:lineRule="auto"/>
        <w:rPr>
          <w:sz w:val="20"/>
          <w:szCs w:val="20"/>
          <w:color w:val="auto"/>
        </w:rPr>
      </w:pPr>
      <w:r>
        <w:rPr>
          <w:rFonts w:ascii="Times New Roman" w:cs="Times New Roman" w:eastAsia="Times New Roman" w:hAnsi="Times New Roman"/>
          <w:sz w:val="17"/>
          <w:szCs w:val="17"/>
          <w:color w:val="231F20"/>
        </w:rPr>
        <w:t>The Company evaluates goodwill at the reporting unit level, which, for the Company, is at the level of the reportable segments, specialty pharmacy, patient services, and clinical trials &amp; other. The goodwill allocated to each of the reporting units as of September 30, 2026 and December 31, 2025 is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44"/>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Patient services</w:t>
            </w:r>
          </w:p>
        </w:tc>
        <w:tc>
          <w:tcPr>
            <w:tcW w:w="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4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pharmacy</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r>
      <w:tr>
        <w:trPr>
          <w:trHeight w:val="251"/>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5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1"/>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goodwill</w:t>
            </w:r>
          </w:p>
        </w:tc>
        <w:tc>
          <w:tcPr>
            <w:tcW w:w="5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0"/>
        </w:trPr>
        <w:tc>
          <w:tcPr>
            <w:tcW w:w="80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231F20"/>
        </w:rPr>
        <w:t>The accumulated goodwill impairment for patient services was $26,179 as of September 30, 2026, December 31, 2025 and January 1, 2025. The accumulated goodwill impairment for clinical trials &amp; others was $632 as of September 30, 2026 and December 31, 2025. There was no accumulated goodwill impairment for specialty pharmacy as of September 30, 2026, December 31, 2025 and January 1,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18. Net Loss Per Share</w:t>
      </w:r>
    </w:p>
    <w:p>
      <w:pPr>
        <w:spacing w:after="0" w:line="191"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231F20"/>
        </w:rPr>
        <w:t>The following table sets forth the computation of the Company's basic and diluted net loss per share to common stockholders for the three and nine months ended September 30, 2026 and 2025.</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8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80" w:type="dxa"/>
            <w:vAlign w:val="bottom"/>
            <w:gridSpan w:val="4"/>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40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4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Starling</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0" w:type="dxa"/>
            <w:vAlign w:val="bottom"/>
          </w:tcPr>
          <w:p>
            <w:pPr>
              <w:spacing w:after="0"/>
              <w:rPr>
                <w:sz w:val="1"/>
                <w:szCs w:val="1"/>
                <w:color w:val="auto"/>
              </w:rPr>
            </w:pPr>
          </w:p>
        </w:tc>
      </w:tr>
      <w:tr>
        <w:trPr>
          <w:trHeight w:val="186"/>
        </w:trPr>
        <w:tc>
          <w:tcPr>
            <w:tcW w:w="3920" w:type="dxa"/>
            <w:vAlign w:val="bottom"/>
          </w:tcPr>
          <w:p>
            <w:pPr>
              <w:spacing w:after="0" w:line="186" w:lineRule="exact"/>
              <w:rPr>
                <w:sz w:val="20"/>
                <w:szCs w:val="20"/>
                <w:color w:val="auto"/>
              </w:rPr>
            </w:pPr>
            <w:r>
              <w:rPr>
                <w:rFonts w:ascii="Times New Roman" w:cs="Times New Roman" w:eastAsia="Times New Roman" w:hAnsi="Times New Roman"/>
                <w:sz w:val="18"/>
                <w:szCs w:val="18"/>
                <w:color w:val="auto"/>
              </w:rPr>
              <w:t>Net loss attributable to Starling available for</w:t>
            </w: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distribution</w:t>
            </w:r>
          </w:p>
        </w:tc>
        <w:tc>
          <w:tcPr>
            <w:tcW w:w="4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0" w:type="dxa"/>
            <w:vAlign w:val="bottom"/>
          </w:tcPr>
          <w:p>
            <w:pPr>
              <w:spacing w:after="0"/>
              <w:rPr>
                <w:sz w:val="1"/>
                <w:szCs w:val="1"/>
                <w:color w:val="auto"/>
              </w:rPr>
            </w:pPr>
          </w:p>
        </w:tc>
      </w:tr>
      <w:tr>
        <w:trPr>
          <w:trHeight w:val="21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participating securities, basic</w:t>
            </w:r>
          </w:p>
        </w:tc>
        <w:tc>
          <w:tcPr>
            <w:tcW w:w="4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0" w:type="dxa"/>
            <w:vAlign w:val="bottom"/>
          </w:tcPr>
          <w:p>
            <w:pPr>
              <w:spacing w:after="0"/>
              <w:rPr>
                <w:sz w:val="1"/>
                <w:szCs w:val="1"/>
                <w:color w:val="auto"/>
              </w:rPr>
            </w:pPr>
          </w:p>
        </w:tc>
      </w:tr>
      <w:tr>
        <w:trPr>
          <w:trHeight w:val="184"/>
        </w:trPr>
        <w:tc>
          <w:tcPr>
            <w:tcW w:w="392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w w:val="98"/>
              </w:rPr>
              <w:t>Net loss attributable to common stockholders, basic</w:t>
            </w:r>
          </w:p>
        </w:tc>
        <w:tc>
          <w:tcPr>
            <w:tcW w:w="4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and diluted</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(13,770)</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(43,878)</w:t>
            </w:r>
          </w:p>
        </w:tc>
        <w:tc>
          <w:tcPr>
            <w:tcW w:w="0" w:type="dxa"/>
            <w:vAlign w:val="bottom"/>
          </w:tcPr>
          <w:p>
            <w:pPr>
              <w:spacing w:after="0"/>
              <w:rPr>
                <w:sz w:val="1"/>
                <w:szCs w:val="1"/>
                <w:color w:val="auto"/>
              </w:rPr>
            </w:pPr>
          </w:p>
        </w:tc>
      </w:tr>
      <w:tr>
        <w:trPr>
          <w:trHeight w:val="158"/>
        </w:trPr>
        <w:tc>
          <w:tcPr>
            <w:tcW w:w="39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400" w:type="dxa"/>
            <w:vAlign w:val="bottom"/>
            <w:shd w:val="clear" w:color="auto" w:fill="CCEEFF"/>
          </w:tcPr>
          <w:p>
            <w:pPr>
              <w:spacing w:after="0"/>
              <w:rPr>
                <w:sz w:val="13"/>
                <w:szCs w:val="13"/>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104,728,390</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97,474,797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103,197,885</w:t>
            </w: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89,333,733</w:t>
            </w:r>
          </w:p>
        </w:tc>
        <w:tc>
          <w:tcPr>
            <w:tcW w:w="0" w:type="dxa"/>
            <w:vAlign w:val="bottom"/>
          </w:tcPr>
          <w:p>
            <w:pPr>
              <w:spacing w:after="0"/>
              <w:rPr>
                <w:sz w:val="1"/>
                <w:szCs w:val="1"/>
                <w:color w:val="auto"/>
              </w:rPr>
            </w:pPr>
          </w:p>
        </w:tc>
      </w:tr>
      <w:tr>
        <w:trPr>
          <w:trHeight w:val="238"/>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Net loss income per share attributable to common</w:t>
            </w:r>
          </w:p>
        </w:tc>
        <w:tc>
          <w:tcPr>
            <w:tcW w:w="40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16"/>
                <w:szCs w:val="16"/>
                <w:color w:val="auto"/>
              </w:rPr>
            </w:pPr>
          </w:p>
        </w:tc>
        <w:tc>
          <w:tcPr>
            <w:tcW w:w="460" w:type="dxa"/>
            <w:vAlign w:val="bottom"/>
            <w:vMerge w:val="restart"/>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6"/>
                <w:szCs w:val="16"/>
                <w:color w:val="auto"/>
              </w:rPr>
            </w:pP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23"/>
        </w:trPr>
        <w:tc>
          <w:tcPr>
            <w:tcW w:w="3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basic and diluted</w:t>
            </w:r>
          </w:p>
        </w:tc>
        <w:tc>
          <w:tcPr>
            <w:tcW w:w="400" w:type="dxa"/>
            <w:vAlign w:val="bottom"/>
            <w:tcBorders>
              <w:bottom w:val="single" w:sz="8" w:color="auto"/>
            </w:tcBorders>
            <w:vMerge w:val="continue"/>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20" w:firstLine="317"/>
        <w:spacing w:after="0" w:line="270" w:lineRule="auto"/>
        <w:rPr>
          <w:sz w:val="20"/>
          <w:szCs w:val="20"/>
          <w:color w:val="auto"/>
        </w:rPr>
      </w:pPr>
      <w:r>
        <w:rPr>
          <w:rFonts w:ascii="Times New Roman" w:cs="Times New Roman" w:eastAsia="Times New Roman" w:hAnsi="Times New Roman"/>
          <w:sz w:val="18"/>
          <w:szCs w:val="18"/>
          <w:color w:val="231F20"/>
        </w:rPr>
        <w:t>The following potentially dilutive outstanding securities were excluded from the computation of diluted net loss per share because their effect would have been anti-dilutive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350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4"/>
        </w:trPr>
        <w:tc>
          <w:tcPr>
            <w:tcW w:w="4440" w:type="dxa"/>
            <w:vAlign w:val="bottom"/>
            <w:tcBorders>
              <w:bottom w:val="single" w:sz="8" w:color="CCEEFF"/>
            </w:tcBorders>
          </w:tcPr>
          <w:p>
            <w:pPr>
              <w:spacing w:after="0"/>
              <w:rPr>
                <w:sz w:val="21"/>
                <w:szCs w:val="21"/>
                <w:color w:val="auto"/>
              </w:rPr>
            </w:pPr>
          </w:p>
        </w:tc>
        <w:tc>
          <w:tcPr>
            <w:tcW w:w="16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1"/>
                <w:szCs w:val="21"/>
                <w:color w:val="auto"/>
              </w:rPr>
            </w:pPr>
          </w:p>
        </w:tc>
        <w:tc>
          <w:tcPr>
            <w:tcW w:w="162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1"/>
                <w:szCs w:val="21"/>
                <w:color w:val="auto"/>
              </w:rPr>
            </w:pPr>
          </w:p>
        </w:tc>
        <w:tc>
          <w:tcPr>
            <w:tcW w:w="15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1"/>
                <w:szCs w:val="21"/>
                <w:color w:val="auto"/>
              </w:rPr>
            </w:pPr>
          </w:p>
        </w:tc>
      </w:tr>
      <w:tr>
        <w:trPr>
          <w:trHeight w:val="251"/>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10,505,428</w:t>
            </w:r>
          </w:p>
        </w:tc>
        <w:tc>
          <w:tcPr>
            <w:tcW w:w="1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10,505,428</w:t>
            </w:r>
          </w:p>
        </w:tc>
        <w:tc>
          <w:tcPr>
            <w:tcW w:w="20" w:type="dxa"/>
            <w:vAlign w:val="bottom"/>
          </w:tcPr>
          <w:p>
            <w:pPr>
              <w:spacing w:after="0"/>
              <w:rPr>
                <w:sz w:val="21"/>
                <w:szCs w:val="21"/>
                <w:color w:val="auto"/>
              </w:rPr>
            </w:pPr>
          </w:p>
        </w:tc>
      </w:tr>
      <w:tr>
        <w:trPr>
          <w:trHeight w:val="24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3,794,694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4,113,588</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3,794,694</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4,113,588</w:t>
            </w:r>
          </w:p>
        </w:tc>
        <w:tc>
          <w:tcPr>
            <w:tcW w:w="20" w:type="dxa"/>
            <w:vAlign w:val="bottom"/>
          </w:tcPr>
          <w:p>
            <w:pPr>
              <w:spacing w:after="0"/>
              <w:rPr>
                <w:sz w:val="21"/>
                <w:szCs w:val="21"/>
                <w:color w:val="auto"/>
              </w:rPr>
            </w:pPr>
          </w:p>
        </w:tc>
      </w:tr>
      <w:tr>
        <w:trPr>
          <w:trHeight w:val="25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4,444,129</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3,280,729</w:t>
            </w: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4,444,129</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3,280,729</w:t>
            </w:r>
          </w:p>
        </w:tc>
        <w:tc>
          <w:tcPr>
            <w:tcW w:w="20" w:type="dxa"/>
            <w:vAlign w:val="bottom"/>
          </w:tcPr>
          <w:p>
            <w:pPr>
              <w:spacing w:after="0"/>
              <w:rPr>
                <w:sz w:val="22"/>
                <w:szCs w:val="22"/>
                <w:color w:val="auto"/>
              </w:rPr>
            </w:pPr>
          </w:p>
        </w:tc>
      </w:tr>
      <w:tr>
        <w:trPr>
          <w:trHeight w:val="250"/>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5,749,986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5,749,986</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5,749,986</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5,749,986</w:t>
            </w:r>
          </w:p>
        </w:tc>
        <w:tc>
          <w:tcPr>
            <w:tcW w:w="20" w:type="dxa"/>
            <w:vAlign w:val="bottom"/>
          </w:tcPr>
          <w:p>
            <w:pPr>
              <w:spacing w:after="0"/>
              <w:rPr>
                <w:sz w:val="21"/>
                <w:szCs w:val="21"/>
                <w:color w:val="auto"/>
              </w:rPr>
            </w:pPr>
          </w:p>
        </w:tc>
      </w:tr>
      <w:tr>
        <w:trPr>
          <w:trHeight w:val="251"/>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2,187,283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2,187,283</w:t>
            </w:r>
          </w:p>
        </w:tc>
        <w:tc>
          <w:tcPr>
            <w:tcW w:w="14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2,187,283</w:t>
            </w: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2,187,283</w:t>
            </w:r>
          </w:p>
        </w:tc>
        <w:tc>
          <w:tcPr>
            <w:tcW w:w="20" w:type="dxa"/>
            <w:vAlign w:val="bottom"/>
          </w:tcPr>
          <w:p>
            <w:pPr>
              <w:spacing w:after="0"/>
              <w:rPr>
                <w:sz w:val="21"/>
                <w:szCs w:val="21"/>
                <w:color w:val="auto"/>
              </w:rPr>
            </w:pPr>
          </w:p>
        </w:tc>
      </w:tr>
      <w:tr>
        <w:trPr>
          <w:trHeight w:val="20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 in connection with private placement and</w:t>
            </w: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agreement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6,858,469</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8,307,481</w:t>
            </w:r>
          </w:p>
        </w:tc>
        <w:tc>
          <w:tcPr>
            <w:tcW w:w="1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6,858,469</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8,307,481</w:t>
            </w:r>
          </w:p>
        </w:tc>
        <w:tc>
          <w:tcPr>
            <w:tcW w:w="20" w:type="dxa"/>
            <w:vAlign w:val="bottom"/>
          </w:tcPr>
          <w:p>
            <w:pPr>
              <w:spacing w:after="0"/>
              <w:rPr>
                <w:sz w:val="20"/>
                <w:szCs w:val="20"/>
                <w:color w:val="auto"/>
              </w:rPr>
            </w:pPr>
          </w:p>
        </w:tc>
      </w:tr>
      <w:tr>
        <w:trPr>
          <w:trHeight w:val="258"/>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in connection with Convertible Notes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10,025,535</w:t>
            </w:r>
          </w:p>
        </w:tc>
        <w:tc>
          <w:tcPr>
            <w:tcW w:w="100" w:type="dxa"/>
            <w:vAlign w:val="bottom"/>
          </w:tcPr>
          <w:p>
            <w:pPr>
              <w:spacing w:after="0"/>
              <w:rPr>
                <w:sz w:val="22"/>
                <w:szCs w:val="22"/>
                <w:color w:val="auto"/>
              </w:rPr>
            </w:pPr>
          </w:p>
        </w:tc>
        <w:tc>
          <w:tcPr>
            <w:tcW w:w="1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10,025,535</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r>
      <w:tr>
        <w:trPr>
          <w:trHeight w:val="1116"/>
        </w:trPr>
        <w:tc>
          <w:tcPr>
            <w:tcW w:w="44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Note 19. Segment Information</w:t>
      </w:r>
    </w:p>
    <w:p>
      <w:pPr>
        <w:spacing w:after="0" w:line="218"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231F20"/>
        </w:rPr>
        <w:t>The Company operates its business and reports its results through three operating and reportable segments: specialty pharmacy, patient services, and clinical trials &amp; other in accordance with ASC 280. See Note 2 for a summary of the Company’s policy on segment information.</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Summarized financial information for the Company’s segments is shown in the following tables: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4"/>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Patient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60,013</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60,195</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177,927</w:t>
            </w:r>
          </w:p>
        </w:tc>
        <w:tc>
          <w:tcPr>
            <w:tcW w:w="16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169,154</w:t>
            </w:r>
          </w:p>
        </w:tc>
        <w:tc>
          <w:tcPr>
            <w:tcW w:w="140" w:type="dxa"/>
            <w:vAlign w:val="bottom"/>
          </w:tcPr>
          <w:p>
            <w:pPr>
              <w:spacing w:after="0"/>
              <w:rPr>
                <w:sz w:val="21"/>
                <w:szCs w:val="21"/>
                <w:color w:val="auto"/>
              </w:rPr>
            </w:pPr>
          </w:p>
        </w:tc>
      </w:tr>
      <w:tr>
        <w:trPr>
          <w:trHeight w:val="258"/>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Specialty pharmacy</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75,895</w:t>
            </w: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295,453</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187,761</w:t>
            </w:r>
          </w:p>
        </w:tc>
        <w:tc>
          <w:tcPr>
            <w:tcW w:w="140" w:type="dxa"/>
            <w:vAlign w:val="bottom"/>
          </w:tcPr>
          <w:p>
            <w:pPr>
              <w:spacing w:after="0"/>
              <w:rPr>
                <w:sz w:val="22"/>
                <w:szCs w:val="22"/>
                <w:color w:val="auto"/>
              </w:rPr>
            </w:pPr>
          </w:p>
        </w:tc>
      </w:tr>
      <w:tr>
        <w:trPr>
          <w:trHeight w:val="244"/>
        </w:trPr>
        <w:tc>
          <w:tcPr>
            <w:tcW w:w="4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40" w:type="dxa"/>
            <w:vAlign w:val="bottom"/>
          </w:tcPr>
          <w:p>
            <w:pPr>
              <w:spacing w:after="0"/>
              <w:rPr>
                <w:sz w:val="21"/>
                <w:szCs w:val="21"/>
                <w:color w:val="auto"/>
              </w:rPr>
            </w:pPr>
          </w:p>
        </w:tc>
      </w:tr>
      <w:tr>
        <w:trPr>
          <w:trHeight w:val="24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136,564</w:t>
            </w: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478,490</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360,772</w:t>
            </w:r>
          </w:p>
        </w:tc>
        <w:tc>
          <w:tcPr>
            <w:tcW w:w="140" w:type="dxa"/>
            <w:vAlign w:val="bottom"/>
          </w:tcPr>
          <w:p>
            <w:pPr>
              <w:spacing w:after="0"/>
              <w:rPr>
                <w:sz w:val="21"/>
                <w:szCs w:val="21"/>
                <w:color w:val="auto"/>
              </w:rPr>
            </w:pPr>
          </w:p>
        </w:tc>
      </w:tr>
      <w:tr>
        <w:trPr>
          <w:trHeight w:val="198"/>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Intravenous (IV) drug costs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29,279</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88,011</w:t>
            </w:r>
          </w:p>
        </w:tc>
        <w:tc>
          <w:tcPr>
            <w:tcW w:w="16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101,035</w:t>
            </w:r>
          </w:p>
        </w:tc>
        <w:tc>
          <w:tcPr>
            <w:tcW w:w="140" w:type="dxa"/>
            <w:vAlign w:val="bottom"/>
          </w:tcPr>
          <w:p>
            <w:pPr>
              <w:spacing w:after="0"/>
              <w:rPr>
                <w:sz w:val="21"/>
                <w:szCs w:val="21"/>
                <w:color w:val="auto"/>
              </w:rPr>
            </w:pPr>
          </w:p>
        </w:tc>
      </w:tr>
      <w:tr>
        <w:trPr>
          <w:trHeight w:val="258"/>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Clinician salaries and benefits</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48,949</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42,854</w:t>
            </w:r>
          </w:p>
        </w:tc>
        <w:tc>
          <w:tcPr>
            <w:tcW w:w="140" w:type="dxa"/>
            <w:vAlign w:val="bottom"/>
          </w:tcPr>
          <w:p>
            <w:pPr>
              <w:spacing w:after="0"/>
              <w:rPr>
                <w:sz w:val="22"/>
                <w:szCs w:val="22"/>
                <w:color w:val="auto"/>
              </w:rPr>
            </w:pPr>
          </w:p>
        </w:tc>
      </w:tr>
      <w:tr>
        <w:trPr>
          <w:trHeight w:val="244"/>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Network medical expense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24,291</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140" w:type="dxa"/>
            <w:vAlign w:val="bottom"/>
          </w:tcPr>
          <w:p>
            <w:pPr>
              <w:spacing w:after="0"/>
              <w:rPr>
                <w:sz w:val="21"/>
                <w:szCs w:val="21"/>
                <w:color w:val="auto"/>
              </w:rPr>
            </w:pPr>
          </w:p>
        </w:tc>
      </w:tr>
      <w:tr>
        <w:trPr>
          <w:trHeight w:val="251"/>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Medical supplies and other</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40" w:type="dxa"/>
            <w:vAlign w:val="bottom"/>
          </w:tcPr>
          <w:p>
            <w:pPr>
              <w:spacing w:after="0"/>
              <w:rPr>
                <w:sz w:val="21"/>
                <w:szCs w:val="21"/>
                <w:color w:val="auto"/>
              </w:rPr>
            </w:pPr>
          </w:p>
        </w:tc>
      </w:tr>
      <w:tr>
        <w:trPr>
          <w:trHeight w:val="24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Total patient services (A)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56,239</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166,393</w:t>
            </w:r>
          </w:p>
        </w:tc>
        <w:tc>
          <w:tcPr>
            <w:tcW w:w="16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152,802</w:t>
            </w:r>
          </w:p>
        </w:tc>
        <w:tc>
          <w:tcPr>
            <w:tcW w:w="140" w:type="dxa"/>
            <w:vAlign w:val="bottom"/>
          </w:tcPr>
          <w:p>
            <w:pPr>
              <w:spacing w:after="0"/>
              <w:rPr>
                <w:sz w:val="21"/>
                <w:szCs w:val="21"/>
                <w:color w:val="auto"/>
              </w:rPr>
            </w:pPr>
          </w:p>
        </w:tc>
      </w:tr>
      <w:tr>
        <w:trPr>
          <w:trHeight w:val="25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pharmacy (B)</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63,072</w:t>
            </w: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230,947</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140" w:type="dxa"/>
            <w:vAlign w:val="bottom"/>
          </w:tcPr>
          <w:p>
            <w:pPr>
              <w:spacing w:after="0"/>
              <w:rPr>
                <w:sz w:val="22"/>
                <w:szCs w:val="22"/>
                <w:color w:val="auto"/>
              </w:rPr>
            </w:pPr>
          </w:p>
        </w:tc>
      </w:tr>
      <w:tr>
        <w:trPr>
          <w:trHeight w:val="24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trials &amp; other (C)</w:t>
            </w:r>
          </w:p>
        </w:tc>
        <w:tc>
          <w:tcPr>
            <w:tcW w:w="1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21"/>
                <w:szCs w:val="21"/>
                <w:color w:val="auto"/>
              </w:rPr>
            </w:pPr>
          </w:p>
        </w:tc>
      </w:tr>
      <w:tr>
        <w:trPr>
          <w:trHeight w:val="25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direct costs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139,097</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117,644</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397,340</w:t>
            </w:r>
          </w:p>
        </w:tc>
        <w:tc>
          <w:tcPr>
            <w:tcW w:w="16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307,102</w:t>
            </w:r>
          </w:p>
        </w:tc>
        <w:tc>
          <w:tcPr>
            <w:tcW w:w="140" w:type="dxa"/>
            <w:vAlign w:val="bottom"/>
          </w:tcPr>
          <w:p>
            <w:pPr>
              <w:spacing w:after="0"/>
              <w:rPr>
                <w:sz w:val="21"/>
                <w:szCs w:val="21"/>
                <w:color w:val="auto"/>
              </w:rPr>
            </w:pPr>
          </w:p>
        </w:tc>
      </w:tr>
      <w:tr>
        <w:trPr>
          <w:trHeight w:val="22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8"/>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Patient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40" w:type="dxa"/>
            <w:vAlign w:val="bottom"/>
          </w:tcPr>
          <w:p>
            <w:pPr>
              <w:spacing w:after="0"/>
              <w:rPr>
                <w:sz w:val="22"/>
                <w:szCs w:val="22"/>
                <w:color w:val="auto"/>
              </w:rPr>
            </w:pPr>
          </w:p>
        </w:tc>
      </w:tr>
      <w:tr>
        <w:trPr>
          <w:trHeight w:val="244"/>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Specialty pharmacy</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21"/>
                <w:szCs w:val="21"/>
                <w:color w:val="auto"/>
              </w:rPr>
            </w:pPr>
          </w:p>
        </w:tc>
      </w:tr>
      <w:tr>
        <w:trPr>
          <w:trHeight w:val="258"/>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1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2"/>
                <w:szCs w:val="22"/>
                <w:color w:val="auto"/>
              </w:rPr>
            </w:pPr>
          </w:p>
        </w:tc>
      </w:tr>
      <w:tr>
        <w:trPr>
          <w:trHeight w:val="237"/>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depreciation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60" w:type="dxa"/>
            <w:vAlign w:val="bottom"/>
          </w:tcPr>
          <w:p>
            <w:pPr>
              <w:spacing w:after="0"/>
              <w:rPr>
                <w:sz w:val="20"/>
                <w:szCs w:val="20"/>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40" w:type="dxa"/>
            <w:vAlign w:val="bottom"/>
          </w:tcPr>
          <w:p>
            <w:pPr>
              <w:spacing w:after="0"/>
              <w:rPr>
                <w:sz w:val="20"/>
                <w:szCs w:val="20"/>
                <w:color w:val="auto"/>
              </w:rPr>
            </w:pPr>
          </w:p>
        </w:tc>
      </w:tr>
      <w:tr>
        <w:trPr>
          <w:trHeight w:val="198"/>
        </w:trPr>
        <w:tc>
          <w:tcPr>
            <w:tcW w:w="4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58"/>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Patient services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40" w:type="dxa"/>
            <w:vAlign w:val="bottom"/>
          </w:tcPr>
          <w:p>
            <w:pPr>
              <w:spacing w:after="0"/>
              <w:rPr>
                <w:sz w:val="22"/>
                <w:szCs w:val="22"/>
                <w:color w:val="auto"/>
              </w:rPr>
            </w:pPr>
          </w:p>
        </w:tc>
      </w:tr>
      <w:tr>
        <w:trPr>
          <w:trHeight w:val="244"/>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180" w:type="dxa"/>
            <w:vAlign w:val="bottom"/>
          </w:tcPr>
          <w:p>
            <w:pPr>
              <w:spacing w:after="0"/>
              <w:rPr>
                <w:sz w:val="21"/>
                <w:szCs w:val="21"/>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1"/>
                <w:szCs w:val="21"/>
                <w:color w:val="auto"/>
              </w:rPr>
            </w:pPr>
          </w:p>
        </w:tc>
      </w:tr>
      <w:tr>
        <w:trPr>
          <w:trHeight w:val="244"/>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amortization</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6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40" w:type="dxa"/>
            <w:vAlign w:val="bottom"/>
          </w:tcPr>
          <w:p>
            <w:pPr>
              <w:spacing w:after="0"/>
              <w:rPr>
                <w:sz w:val="21"/>
                <w:szCs w:val="21"/>
                <w:color w:val="auto"/>
              </w:rPr>
            </w:pPr>
          </w:p>
        </w:tc>
      </w:tr>
      <w:tr>
        <w:trPr>
          <w:trHeight w:val="198"/>
        </w:trPr>
        <w:tc>
          <w:tcPr>
            <w:tcW w:w="4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r>
      <w:tr>
        <w:trPr>
          <w:trHeight w:val="244"/>
        </w:trPr>
        <w:tc>
          <w:tcPr>
            <w:tcW w:w="4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Patient services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tcPr>
          <w:p>
            <w:pPr>
              <w:spacing w:after="0"/>
              <w:rPr>
                <w:sz w:val="21"/>
                <w:szCs w:val="21"/>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34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60" w:type="dxa"/>
            <w:vAlign w:val="bottom"/>
          </w:tcPr>
          <w:p>
            <w:pPr>
              <w:spacing w:after="0"/>
              <w:rPr>
                <w:sz w:val="21"/>
                <w:szCs w:val="21"/>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40" w:type="dxa"/>
            <w:vAlign w:val="bottom"/>
          </w:tcPr>
          <w:p>
            <w:pPr>
              <w:spacing w:after="0"/>
              <w:rPr>
                <w:sz w:val="21"/>
                <w:szCs w:val="21"/>
                <w:color w:val="auto"/>
              </w:rPr>
            </w:pPr>
          </w:p>
        </w:tc>
      </w:tr>
      <w:tr>
        <w:trPr>
          <w:trHeight w:val="258"/>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Specialty pharmacy</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12,821</w:t>
            </w:r>
          </w:p>
        </w:tc>
        <w:tc>
          <w:tcPr>
            <w:tcW w:w="80" w:type="dxa"/>
            <w:vAlign w:val="bottom"/>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64,500</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33,732</w:t>
            </w:r>
          </w:p>
        </w:tc>
        <w:tc>
          <w:tcPr>
            <w:tcW w:w="140" w:type="dxa"/>
            <w:vAlign w:val="bottom"/>
          </w:tcPr>
          <w:p>
            <w:pPr>
              <w:spacing w:after="0"/>
              <w:rPr>
                <w:sz w:val="22"/>
                <w:szCs w:val="22"/>
                <w:color w:val="auto"/>
              </w:rPr>
            </w:pPr>
          </w:p>
        </w:tc>
      </w:tr>
      <w:tr>
        <w:trPr>
          <w:trHeight w:val="244"/>
        </w:trPr>
        <w:tc>
          <w:tcPr>
            <w:tcW w:w="43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40" w:type="dxa"/>
            <w:vAlign w:val="bottom"/>
          </w:tcPr>
          <w:p>
            <w:pPr>
              <w:spacing w:after="0"/>
              <w:rPr>
                <w:sz w:val="21"/>
                <w:szCs w:val="21"/>
                <w:color w:val="auto"/>
              </w:rPr>
            </w:pPr>
          </w:p>
        </w:tc>
      </w:tr>
      <w:tr>
        <w:trPr>
          <w:trHeight w:val="25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17,464</w:t>
            </w: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77,262</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140" w:type="dxa"/>
            <w:vAlign w:val="bottom"/>
          </w:tcPr>
          <w:p>
            <w:pPr>
              <w:spacing w:after="0"/>
              <w:rPr>
                <w:sz w:val="21"/>
                <w:szCs w:val="21"/>
                <w:color w:val="auto"/>
              </w:rPr>
            </w:pPr>
          </w:p>
        </w:tc>
      </w:tr>
      <w:tr>
        <w:trPr>
          <w:trHeight w:val="22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Other items not allocated to segments: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5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80" w:type="dxa"/>
            <w:vAlign w:val="bottom"/>
          </w:tcPr>
          <w:p>
            <w:pPr>
              <w:spacing w:after="0"/>
              <w:rPr>
                <w:sz w:val="22"/>
                <w:szCs w:val="22"/>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90,285</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77,534</w:t>
            </w:r>
          </w:p>
        </w:tc>
        <w:tc>
          <w:tcPr>
            <w:tcW w:w="140" w:type="dxa"/>
            <w:vAlign w:val="bottom"/>
          </w:tcPr>
          <w:p>
            <w:pPr>
              <w:spacing w:after="0"/>
              <w:rPr>
                <w:sz w:val="22"/>
                <w:szCs w:val="22"/>
                <w:color w:val="auto"/>
              </w:rPr>
            </w:pPr>
          </w:p>
        </w:tc>
      </w:tr>
      <w:tr>
        <w:trPr>
          <w:trHeight w:val="244"/>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Non-segment depreciation and amortization</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tcPr>
          <w:p>
            <w:pPr>
              <w:spacing w:after="0"/>
              <w:rPr>
                <w:sz w:val="21"/>
                <w:szCs w:val="21"/>
                <w:color w:val="auto"/>
              </w:rPr>
            </w:pPr>
          </w:p>
        </w:tc>
      </w:tr>
      <w:tr>
        <w:trPr>
          <w:trHeight w:val="24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operating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80" w:type="dxa"/>
            <w:vAlign w:val="bottom"/>
          </w:tcPr>
          <w:p>
            <w:pPr>
              <w:spacing w:after="0"/>
              <w:rPr>
                <w:sz w:val="21"/>
                <w:szCs w:val="21"/>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(14,111)</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w:t>
            </w:r>
          </w:p>
        </w:tc>
        <w:tc>
          <w:tcPr>
            <w:tcW w:w="140" w:type="dxa"/>
            <w:vAlign w:val="bottom"/>
          </w:tcPr>
          <w:p>
            <w:pPr>
              <w:spacing w:after="0"/>
              <w:rPr>
                <w:sz w:val="21"/>
                <w:szCs w:val="21"/>
                <w:color w:val="auto"/>
              </w:rPr>
            </w:pPr>
          </w:p>
        </w:tc>
      </w:tr>
      <w:tr>
        <w:trPr>
          <w:trHeight w:val="244"/>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40" w:type="dxa"/>
            <w:vAlign w:val="bottom"/>
          </w:tcPr>
          <w:p>
            <w:pPr>
              <w:spacing w:after="0"/>
              <w:rPr>
                <w:sz w:val="21"/>
                <w:szCs w:val="21"/>
                <w:color w:val="auto"/>
              </w:rPr>
            </w:pPr>
          </w:p>
        </w:tc>
      </w:tr>
      <w:tr>
        <w:trPr>
          <w:trHeight w:val="21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and conversion option</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r>
      <w:tr>
        <w:trPr>
          <w:trHeight w:val="243"/>
        </w:trPr>
        <w:tc>
          <w:tcPr>
            <w:tcW w:w="4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80" w:type="dxa"/>
            <w:vAlign w:val="bottom"/>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40" w:type="dxa"/>
            <w:vAlign w:val="bottom"/>
          </w:tcPr>
          <w:p>
            <w:pPr>
              <w:spacing w:after="0"/>
              <w:rPr>
                <w:sz w:val="21"/>
                <w:szCs w:val="21"/>
                <w:color w:val="auto"/>
              </w:rPr>
            </w:pPr>
          </w:p>
        </w:tc>
      </w:tr>
      <w:tr>
        <w:trPr>
          <w:trHeight w:val="237"/>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40" w:type="dxa"/>
            <w:vAlign w:val="bottom"/>
          </w:tcPr>
          <w:p>
            <w:pPr>
              <w:spacing w:after="0"/>
              <w:rPr>
                <w:sz w:val="20"/>
                <w:szCs w:val="20"/>
                <w:color w:val="auto"/>
              </w:rPr>
            </w:pPr>
          </w:p>
        </w:tc>
      </w:tr>
      <w:tr>
        <w:trPr>
          <w:trHeight w:val="1130"/>
        </w:trPr>
        <w:tc>
          <w:tcPr>
            <w:tcW w:w="4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5"/>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00" w:type="dxa"/>
            <w:vAlign w:val="bottom"/>
            <w:gridSpan w:val="7"/>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r>
      <w:tr>
        <w:trPr>
          <w:trHeight w:val="238"/>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8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6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120" w:type="dxa"/>
            <w:vAlign w:val="bottom"/>
          </w:tcPr>
          <w:p>
            <w:pPr>
              <w:spacing w:after="0"/>
              <w:rPr>
                <w:sz w:val="20"/>
                <w:szCs w:val="20"/>
                <w:color w:val="auto"/>
              </w:rPr>
            </w:pPr>
          </w:p>
        </w:tc>
      </w:tr>
      <w:tr>
        <w:trPr>
          <w:trHeight w:val="251"/>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loss before provision for income taxes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(28,029)</w:t>
            </w:r>
          </w:p>
        </w:tc>
        <w:tc>
          <w:tcPr>
            <w:tcW w:w="160" w:type="dxa"/>
            <w:vAlign w:val="bottom"/>
          </w:tcPr>
          <w:p>
            <w:pPr>
              <w:spacing w:after="0"/>
              <w:rPr>
                <w:sz w:val="21"/>
                <w:szCs w:val="21"/>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(53,229)</w:t>
            </w:r>
          </w:p>
        </w:tc>
        <w:tc>
          <w:tcPr>
            <w:tcW w:w="120" w:type="dxa"/>
            <w:vAlign w:val="bottom"/>
          </w:tcPr>
          <w:p>
            <w:pPr>
              <w:spacing w:after="0"/>
              <w:rPr>
                <w:sz w:val="21"/>
                <w:szCs w:val="21"/>
                <w:color w:val="auto"/>
              </w:rPr>
            </w:pPr>
          </w:p>
        </w:tc>
      </w:tr>
      <w:tr>
        <w:trPr>
          <w:trHeight w:val="20"/>
        </w:trPr>
        <w:tc>
          <w:tcPr>
            <w:tcW w:w="4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1"/>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September 30, 2026</w:t>
            </w:r>
          </w:p>
        </w:tc>
        <w:tc>
          <w:tcPr>
            <w:tcW w:w="300" w:type="dxa"/>
            <w:vAlign w:val="bottom"/>
          </w:tcPr>
          <w:p>
            <w:pPr>
              <w:spacing w:after="0"/>
              <w:rPr>
                <w:sz w:val="24"/>
                <w:szCs w:val="24"/>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3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r>
      <w:tr>
        <w:trPr>
          <w:trHeight w:val="244"/>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Capitated accounts receivable</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3,213</w:t>
            </w:r>
          </w:p>
        </w:tc>
      </w:tr>
      <w:tr>
        <w:trPr>
          <w:trHeight w:val="258"/>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FFS accounts receivable</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35,376</w:t>
            </w:r>
          </w:p>
        </w:tc>
      </w:tr>
      <w:tr>
        <w:trPr>
          <w:trHeight w:val="244"/>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IV drug inventory</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8,079</w:t>
            </w:r>
          </w:p>
        </w:tc>
      </w:tr>
      <w:tr>
        <w:trPr>
          <w:trHeight w:val="251"/>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27,989</w:t>
            </w:r>
          </w:p>
        </w:tc>
      </w:tr>
      <w:tr>
        <w:trPr>
          <w:trHeight w:val="244"/>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Patient services</w:t>
            </w:r>
          </w:p>
        </w:tc>
        <w:tc>
          <w:tcPr>
            <w:tcW w:w="18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74,657</w:t>
            </w:r>
          </w:p>
        </w:tc>
      </w:tr>
      <w:tr>
        <w:trPr>
          <w:trHeight w:val="238"/>
        </w:trPr>
        <w:tc>
          <w:tcPr>
            <w:tcW w:w="4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4"/>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Oral drug accounts receivable</w:t>
            </w: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7,457</w:t>
            </w:r>
          </w:p>
        </w:tc>
      </w:tr>
      <w:tr>
        <w:trPr>
          <w:trHeight w:val="258"/>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Oral drug inventory</w:t>
            </w:r>
          </w:p>
        </w:tc>
        <w:tc>
          <w:tcPr>
            <w:tcW w:w="1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8,796</w:t>
            </w:r>
          </w:p>
        </w:tc>
      </w:tr>
      <w:tr>
        <w:trPr>
          <w:trHeight w:val="244"/>
        </w:trPr>
        <w:tc>
          <w:tcPr>
            <w:tcW w:w="4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r>
      <w:tr>
        <w:trPr>
          <w:trHeight w:val="244"/>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Specialty pharmacy</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16,684</w:t>
            </w:r>
          </w:p>
        </w:tc>
      </w:tr>
      <w:tr>
        <w:trPr>
          <w:trHeight w:val="238"/>
        </w:trPr>
        <w:tc>
          <w:tcPr>
            <w:tcW w:w="4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5,436</w:t>
            </w:r>
          </w:p>
        </w:tc>
      </w:tr>
      <w:tr>
        <w:trPr>
          <w:trHeight w:val="244"/>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Non-segment assets</w:t>
            </w:r>
          </w:p>
        </w:tc>
        <w:tc>
          <w:tcPr>
            <w:tcW w:w="18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67,879</w:t>
            </w:r>
          </w:p>
        </w:tc>
      </w:tr>
      <w:tr>
        <w:trPr>
          <w:trHeight w:val="27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7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187,773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164,656</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231F20"/>
        </w:rPr>
        <w:t>The Company’s chief operating decision maker, "or CODM", is the Chief Executive Officer. The CODM uses segment operating income to allocate resources (including employees, property, and financial or capital resources) for each segment predominantly in the annual budget and forecasting process. The CODM considers budget-to-actual variances on a monthly basis when making decisions about allocating capital and personnel to the segments. The CODM also uses segment operating income for evaluating drug pricing to assess each segment’s performance by comparing the results and return on assets of each segment with one another and in the compensation of specific employees.</w:t>
      </w:r>
    </w:p>
    <w:p>
      <w:pPr>
        <w:spacing w:after="0" w:line="146" w:lineRule="exact"/>
        <w:rPr>
          <w:sz w:val="20"/>
          <w:szCs w:val="20"/>
          <w:color w:val="auto"/>
        </w:rPr>
      </w:pPr>
    </w:p>
    <w:p>
      <w:pPr>
        <w:ind w:right="100" w:firstLine="6"/>
        <w:spacing w:after="0" w:line="257" w:lineRule="auto"/>
        <w:tabs>
          <w:tab w:leader="none" w:pos="288"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Direct costs - patient services primarily includes chemotherapy drug costs, clinician salaries and benefits, and medical supplies. Clinicians include oncologists, advanced practice providers such as physician assistants and nurse practitioners, and registered nurses employed by the </w:t>
      </w:r>
      <w:r>
        <w:rPr>
          <w:rFonts w:ascii="Times New Roman" w:cs="Times New Roman" w:eastAsia="Times New Roman" w:hAnsi="Times New Roman"/>
          <w:sz w:val="18"/>
          <w:szCs w:val="18"/>
          <w:color w:val="000000"/>
        </w:rPr>
        <w:t>Starling</w:t>
      </w:r>
      <w:r>
        <w:rPr>
          <w:rFonts w:ascii="Times New Roman" w:cs="Times New Roman" w:eastAsia="Times New Roman" w:hAnsi="Times New Roman"/>
          <w:sz w:val="18"/>
          <w:szCs w:val="18"/>
          <w:color w:val="231F20"/>
        </w:rPr>
        <w:t xml:space="preserve"> PCs. These costs are regularly provided to the CODM to evaluate IV drug costs and clinician performance.</w:t>
      </w:r>
    </w:p>
    <w:p>
      <w:pPr>
        <w:spacing w:after="0" w:line="140" w:lineRule="exact"/>
        <w:rPr>
          <w:rFonts w:ascii="Times New Roman" w:cs="Times New Roman" w:eastAsia="Times New Roman" w:hAnsi="Times New Roman"/>
          <w:sz w:val="18"/>
          <w:szCs w:val="18"/>
          <w:color w:val="231F20"/>
        </w:rPr>
      </w:pPr>
    </w:p>
    <w:p>
      <w:pPr>
        <w:ind w:right="380" w:firstLine="6"/>
        <w:spacing w:after="0" w:line="270" w:lineRule="auto"/>
        <w:tabs>
          <w:tab w:leader="none" w:pos="279"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Direct costs - specialty pharmacy primarily includes the cost of oral medications dispensed in the </w:t>
      </w:r>
      <w:r>
        <w:rPr>
          <w:rFonts w:ascii="Times New Roman" w:cs="Times New Roman" w:eastAsia="Times New Roman" w:hAnsi="Times New Roman"/>
          <w:sz w:val="18"/>
          <w:szCs w:val="18"/>
          <w:color w:val="000000"/>
        </w:rPr>
        <w:t>Starling</w:t>
      </w:r>
      <w:r>
        <w:rPr>
          <w:rFonts w:ascii="Times New Roman" w:cs="Times New Roman" w:eastAsia="Times New Roman" w:hAnsi="Times New Roman"/>
          <w:sz w:val="18"/>
          <w:szCs w:val="18"/>
          <w:color w:val="231F20"/>
        </w:rPr>
        <w:t xml:space="preserve"> PCs’ clinic locations. The CODM regularly reviews these costs to evaluate drug margins, compression, and suppliers.</w:t>
      </w:r>
    </w:p>
    <w:p>
      <w:pPr>
        <w:spacing w:after="0" w:line="141" w:lineRule="exact"/>
        <w:rPr>
          <w:rFonts w:ascii="Times New Roman" w:cs="Times New Roman" w:eastAsia="Times New Roman" w:hAnsi="Times New Roman"/>
          <w:sz w:val="18"/>
          <w:szCs w:val="18"/>
          <w:color w:val="231F20"/>
        </w:rPr>
      </w:pPr>
    </w:p>
    <w:p>
      <w:pPr>
        <w:ind w:left="280" w:hanging="274"/>
        <w:spacing w:after="0"/>
        <w:tabs>
          <w:tab w:leader="none" w:pos="28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 costs - clinical trials &amp; other primarily includes costs related to clinical trial contracts and medical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655955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3" w:lineRule="exact"/>
        <w:rPr>
          <w:sz w:val="20"/>
          <w:szCs w:val="20"/>
          <w:color w:val="auto"/>
        </w:rPr>
      </w:pPr>
    </w:p>
    <w:p>
      <w:pPr>
        <w:jc w:val="both"/>
        <w:ind w:firstLine="317"/>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that management believes is relevant to an assessment and understanding of the consolidated results of operations and financial condition of Starling Oncology, Inc. along with its consolidated subsidiaries. The discussion should be read together with the unaudited condensed consolidated financial statements and the related notes that are included elsewhere in this Quarterly Report on Form 10-Q. The information in this discussion contains forward-looking statements within the meaning of Section 27A of the Securities Act of 1933, as amended (the "Securities Act"), and Section 21E of the Securities Exchange Act of 1934, as amended (the "Exchange Act"). Such statements are based upon current expectations, as well as management's beliefs and assumptions and involve a high degree of risk and uncertainty. Any statements contained herein that are not statements of historical fact may be deemed to be forward-looking statements. Statements that include the words "believes," "anticipates," "plans," "expects." "intends," and similar expressions that convey uncertainty of future events or outcomes are forward-looking statements. Our actual results could differ materially from those discussed or suggested in the forward-looking statements herein. Factors that could cause or contribute to such differences include those described under the heading "Risk Factors" (Item 1A) in our Annual Report on Form 10-K for the year ended December 31, 2025, which was filed with the Securities and Exchange Commission on March 12, 2026. In addition, as a result of these and other factors, our past financial performance should not be relied on as an indication of future performance. All forward-looking statements in this document are based on information available to us as of the filing date of this Quarterly Report on Form 10-Q and we assume no obligation to update any forward-looking statements, except as required by law.</w:t>
      </w:r>
    </w:p>
    <w:p>
      <w:pPr>
        <w:spacing w:after="0" w:line="131" w:lineRule="exact"/>
        <w:rPr>
          <w:sz w:val="20"/>
          <w:szCs w:val="20"/>
          <w:color w:val="auto"/>
        </w:rPr>
      </w:pPr>
    </w:p>
    <w:p>
      <w:pPr>
        <w:jc w:val="both"/>
        <w:ind w:firstLine="317"/>
        <w:spacing w:after="0" w:line="258" w:lineRule="auto"/>
        <w:rPr>
          <w:sz w:val="20"/>
          <w:szCs w:val="20"/>
          <w:color w:val="auto"/>
        </w:rPr>
      </w:pPr>
      <w:r>
        <w:rPr>
          <w:rFonts w:ascii="Times New Roman" w:cs="Times New Roman" w:eastAsia="Times New Roman" w:hAnsi="Times New Roman"/>
          <w:sz w:val="18"/>
          <w:szCs w:val="18"/>
          <w:i w:val="1"/>
          <w:iCs w:val="1"/>
          <w:color w:val="auto"/>
        </w:rPr>
        <w:t>Unless the context dictates otherwise, references in this Quarterly Report on Form 10-Q to the “Company,” “we,” “us,” “our,” and similar words are references to Starling Oncology, Inc., a Delaware corporation (“STLN”), and its consolidated subsidiaries and affiliated entities, as appropriate, including its consolidated variable interest entities (“VIEs”). All dollar values are expressed in thousands, unless otherwise noted.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8"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auto"/>
        </w:rPr>
        <w:t xml:space="preserve">The Company is a leading value-based oncology company that manages community-based oncology practices for the Company and for independent oncology practices that together serve patients across 17 markets and </w:t>
      </w:r>
      <w:r>
        <w:rPr>
          <w:rFonts w:ascii="Times New Roman" w:cs="Times New Roman" w:eastAsia="Times New Roman" w:hAnsi="Times New Roman"/>
          <w:sz w:val="18"/>
          <w:szCs w:val="18"/>
          <w:color w:val="231F20"/>
        </w:rPr>
        <w:t>five</w:t>
      </w:r>
      <w:r>
        <w:rPr>
          <w:rFonts w:ascii="Times New Roman" w:cs="Times New Roman" w:eastAsia="Times New Roman" w:hAnsi="Times New Roman"/>
          <w:sz w:val="18"/>
          <w:szCs w:val="18"/>
          <w:color w:val="auto"/>
        </w:rPr>
        <w:t xml:space="preserve"> states throughout the United States. As of September 30, 2026, we operate 67 </w:t>
      </w:r>
      <w:r>
        <w:rPr>
          <w:rFonts w:ascii="Times New Roman" w:cs="Times New Roman" w:eastAsia="Times New Roman" w:hAnsi="Times New Roman"/>
          <w:sz w:val="18"/>
          <w:szCs w:val="18"/>
          <w:color w:val="231F20"/>
        </w:rPr>
        <w:t xml:space="preserve">community-based oncology practices, staffed with </w:t>
      </w:r>
      <w:r>
        <w:rPr>
          <w:rFonts w:ascii="Times New Roman" w:cs="Times New Roman" w:eastAsia="Times New Roman" w:hAnsi="Times New Roman"/>
          <w:sz w:val="18"/>
          <w:szCs w:val="18"/>
          <w:color w:val="000000"/>
        </w:rPr>
        <w:t>125</w:t>
      </w:r>
      <w:r>
        <w:rPr>
          <w:rFonts w:ascii="Times New Roman" w:cs="Times New Roman" w:eastAsia="Times New Roman" w:hAnsi="Times New Roman"/>
          <w:sz w:val="18"/>
          <w:szCs w:val="18"/>
          <w:color w:val="231F20"/>
        </w:rPr>
        <w:t xml:space="preserve"> oncologists and advanced practice providers employed by our affiliated physician-owned professional corporations, referred to as the "Starling PCs." In addition to our Starling-affiliated providers, we also manage a network of providers in Florida under the Florida Oncology Network brand along with network providers in California. Collectively across the provider base, as of September 30, 2026, we manage a population of approximately 2.2 million patients under value-based agreements</w:t>
      </w:r>
      <w:r>
        <w:rPr>
          <w:rFonts w:ascii="Times New Roman" w:cs="Times New Roman" w:eastAsia="Times New Roman" w:hAnsi="Times New Roman"/>
          <w:sz w:val="18"/>
          <w:szCs w:val="18"/>
          <w:color w:val="000000"/>
        </w:rPr>
        <w:t>. The Company's mission is to heal and empower cancer patients through</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compassion, innovation, and state-of-the-art medical care..</w:t>
      </w:r>
    </w:p>
    <w:p>
      <w:pPr>
        <w:spacing w:after="0" w:line="161"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231F20"/>
        </w:rPr>
        <w:t xml:space="preserve">Operationally, the Company’s medical centers provide a complete suite of medical oncology services, including: physician services, in-house infusion, in-house specialty pharmacy, clinical trials, radiation therapy, educational seminars, support groups, counseling, and 24/7 patient assistance. </w:t>
      </w:r>
      <w:r>
        <w:rPr>
          <w:rFonts w:ascii="Times New Roman" w:cs="Times New Roman" w:eastAsia="Times New Roman" w:hAnsi="Times New Roman"/>
          <w:sz w:val="18"/>
          <w:szCs w:val="18"/>
          <w:color w:val="000000"/>
        </w:rPr>
        <w:t>Many of our services,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such as managing clinical trials and palliative care programs, are traditionally accessed through academic and tertiary care settings, while the Starling PCs bring these services to patients in a community setting. As scientific research progresses and more treatment options become available, cancer care is shifting from acute care episodes to chronic disease management. With this shift, it is increasingly important for high-quality, high-value cancer care to be available in a local community setting to all patients in need.</w:t>
      </w:r>
    </w:p>
    <w:p>
      <w:pPr>
        <w:spacing w:after="0" w:line="146"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auto"/>
        </w:rPr>
        <w:t>As a value-based oncology company, the Company seeks to deliver both better quality care and lower cost of care for payors and patients. The Company works to accomplish this goal by reducing wasteful, inefficient or counterproductive care that drives up costs but does not improve outcomes. The Company believes payors and employers are aligned with the value-based model due to its enhanced access, improved outcomes, and lower costs. Patients under the Company's affiliated providers’ care can benefit from evidence-based and personalized care plans, gain access to sub-specialized care in convenient community locations, and lower out-of-pocket costs. The Company believes its affiliated providers enjoy the stability and predictability of a large multi-state practice, are not incentivized or pressured to overtreat when it may be inconsistent with a patient’s goals of care, and can focus on practicing outstanding evidence-based medicine, rather than business building.</w:t>
      </w:r>
    </w:p>
    <w:p>
      <w:pPr>
        <w:spacing w:after="0" w:line="147"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Additionally, we allow our independent network participating providers to access the ability to treat patient populations that are managed under value-based care contracts without the need to incur costs required to build clinical or operational infrastructure typical for risk-bearing entities, or to adopt new operational frameworks which may be disruptive to their existing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641350</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receives payments from the following sources for services rendered: (i) commercial insurers; (ii) pharmacy benefit managers (“PBMs”),</w:t>
      </w:r>
    </w:p>
    <w:p>
      <w:pPr>
        <w:spacing w:after="0" w:line="22" w:lineRule="exact"/>
        <w:rPr>
          <w:sz w:val="20"/>
          <w:szCs w:val="20"/>
          <w:color w:val="auto"/>
        </w:rPr>
      </w:pPr>
    </w:p>
    <w:p>
      <w:pPr>
        <w:jc w:val="both"/>
        <w:ind w:firstLine="6"/>
        <w:spacing w:after="0" w:line="247" w:lineRule="auto"/>
        <w:tabs>
          <w:tab w:leader="none" w:pos="32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government under the Medicare program administered by the Centers for Medicare and Medicaid Services (“CMS”); (iv) state governments under Medicaid and other programs; (v) other third-party payors and managed care organizations (e.g., risk bearing organizations and independent practice associations (“IPAs”)); and (vi) individual patients and clients.</w:t>
      </w:r>
    </w:p>
    <w:p>
      <w:pPr>
        <w:spacing w:after="0" w:line="149"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 xml:space="preserve">Revenue primarily consists of capitation revenue, fee-for-service (“FFS”) revenue, </w:t>
      </w:r>
      <w:r>
        <w:rPr>
          <w:rFonts w:ascii="Times New Roman" w:cs="Times New Roman" w:eastAsia="Times New Roman" w:hAnsi="Times New Roman"/>
          <w:sz w:val="18"/>
          <w:szCs w:val="18"/>
          <w:color w:val="231F20"/>
        </w:rPr>
        <w:t>specialty pharmacy</w:t>
      </w:r>
      <w:r>
        <w:rPr>
          <w:rFonts w:ascii="Times New Roman" w:cs="Times New Roman" w:eastAsia="Times New Roman" w:hAnsi="Times New Roman"/>
          <w:sz w:val="18"/>
          <w:szCs w:val="18"/>
          <w:color w:val="auto"/>
        </w:rPr>
        <w:t xml:space="preserve"> revenue, and clinical trials revenue. Capitation and FFS revenue comprise the revenues within the Company’s patient services segment and are presented together in the results of operations. The following paragraphs provide a summary of the principal forms of our billing arrangements and how revenue is recognized for each type of revenue.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Capitation</w:t>
      </w:r>
    </w:p>
    <w:p>
      <w:pPr>
        <w:spacing w:after="0" w:line="193"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auto"/>
        </w:rPr>
        <w:t>Capitation revenues consist primarily of fees for medical services provided by the Starling PCs to the Company's patients under a capitated arrangement with various managed care organizations. Capitation revenue is paid monthly based on the number of enrollees by the contracted managed care organization (per member per month or “PMPM”). Capitation contracts generally have a legal term of one year or longer. Payments in capitation contracts are variable since they primarily include PMPM fees associated with unspecified membership that fluctuate throughout the term of the contract; however, based on our experience, our total underlying membership generally increases over time as penetration of Medicare Advantage products grows. Certain contracts include terms for a capitation deduction where the cost of out-of-network referrals of members are deducted from the future payment. Revenue is recognized in the month services are rendered on the basis of the transaction price established at that time.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Fee-for-service revenue</w:t>
      </w:r>
    </w:p>
    <w:p>
      <w:pPr>
        <w:spacing w:after="0" w:line="180" w:lineRule="exact"/>
        <w:rPr>
          <w:sz w:val="20"/>
          <w:szCs w:val="20"/>
          <w:color w:val="auto"/>
        </w:rPr>
      </w:pPr>
    </w:p>
    <w:p>
      <w:pPr>
        <w:jc w:val="both"/>
        <w:ind w:firstLine="317"/>
        <w:spacing w:after="0" w:line="246" w:lineRule="auto"/>
        <w:rPr>
          <w:sz w:val="20"/>
          <w:szCs w:val="20"/>
          <w:color w:val="auto"/>
        </w:rPr>
      </w:pPr>
      <w:r>
        <w:rPr>
          <w:rFonts w:ascii="Times New Roman" w:cs="Times New Roman" w:eastAsia="Times New Roman" w:hAnsi="Times New Roman"/>
          <w:sz w:val="18"/>
          <w:szCs w:val="18"/>
          <w:color w:val="auto"/>
        </w:rPr>
        <w:t>FFS revenue represents revenue earned under contracts in which we bill and collect for specific medical services rendered by the Starling PCs’ employed physicians. The terms for FFS contracts are short in duration and only last for the period over which services are rendered (typically, one day). FFS revenue consists of fees for medical services provided to patients. As specialist providers, our FFS revenue is dependent on referrals from other physicians, such as primary care physicians. The Company's affiliated providers build trusted, professional relationships with these physicians and their associated medical groups, which can lead to recurring FFS volume; however, this volume is subject to numerous factors the Company cannot control and can fluctuate over time. The Company also receives FFS revenue for capitated patients that receive medical services which are excluded from the Company's capitation contracts. Under the FFS arrangements, third-party payors and patients are billed for patient care services provided by the Starling PCs. Payments for services provided are generally less than billed charges. The Company records revenue net of an allowance for contractual adjustments, which represents the net revenue expected to be collected from third-party payors (including managed care, commercial, and governmental payors such as Medicare and Medicaid), and patients. These expected collections are based on fees and negotiated payment rates in the case of third-party payors, the specific benefits provided for under each patient’s healthcare plan, mandated payment rates in the case of Medicare and Medicaid programs, and historical cash collections (net of recoveries). The recognition of net revenue (gross charges less contractual allowances) from such services is dependent on certain factors, such as the proper completion of medical charts following a patient visit, the forwarding of such charts to our billing center for medical coding and entering into the Company's billing system, and the verification of each patient’s submission or representation at the time services are rendered as to the payor(s) responsible for payment of such services. Revenue is recorded on the date the services are rendered based on the information known at the time of entering of such information into the Company's billing systems as well as an estimate of the revenue associated with medical services.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Pharmacy</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Oral prescription drugs prescribed by doctors to their patients are sold directly through the Starling PCs’ dispensaries. Revenue for the prescriptions is based on fee schedules set by various PBMs and other third-party payors.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&amp; other revenue</w:t>
      </w:r>
    </w:p>
    <w:p>
      <w:pPr>
        <w:spacing w:after="0" w:line="193"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Starling PCs also enter into contracts to perform clinical research trials. The terms of the clinical trial contracts vary depending on the length of time required for the clinical research. Each contract represents a single, integrated set of research activities that are satisfied over time as the output of results from the trial is captured for the trial sponsor to review.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633095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clinical trial contracts, the Starling PCs receive a fixed payment for administrative, set-up, and close-down fees; a fixed amount for each patient site visit; and certain expense reimbursements. The Company recognizes revenue for these arrangements on the fees earned to date based on the state of the trial, as established under contract with the customer. </w:t>
      </w:r>
      <w:r>
        <w:rPr>
          <w:rFonts w:ascii="Times New Roman" w:cs="Times New Roman" w:eastAsia="Times New Roman" w:hAnsi="Times New Roman"/>
          <w:sz w:val="18"/>
          <w:szCs w:val="18"/>
          <w:color w:val="231F20"/>
        </w:rPr>
        <w:t>O</w:t>
      </w:r>
      <w:r>
        <w:rPr>
          <w:rFonts w:ascii="Times New Roman" w:cs="Times New Roman" w:eastAsia="Times New Roman" w:hAnsi="Times New Roman"/>
          <w:sz w:val="18"/>
          <w:szCs w:val="18"/>
          <w:color w:val="auto"/>
        </w:rPr>
        <w:t>n March 31, 2025, the Company entered into a Research Services Agreement ("RSA") with Helios CR, Inc. ("Helios"), effective May 5, 2025, pursuant to which the Helios operates our Clinical Trials &amp; other segment under a profit sharing arrangement with the Company. As part of the RSA, there is a Transition Services Agreement, pursuant to which certain administrative and professional services are provided by Helios for a certain period of time. Additionally, the Company pays a management fee to Helios on a periodic basis for certain shared 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 patient services</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Direct costs - patient services primarily includes chemotherapy drug costs, clinician salaries and benefits, and medical supplies. Clinicians include oncologists, advanced practice providers such as physician assistants and nurse practitioners, and registered nurses employed by the Starling PCs.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 specialty pharmacy</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 costs - specialty pharmacy primarily includes the cost of oral medications dispensed in the Starling PCs’ clinic locations.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costs - clinical trials &amp; other</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Direct costs - clinical trials &amp; other primarily includes costs related to clinical trial contracts and medical supplies.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Network medical expense</w:t>
      </w:r>
    </w:p>
    <w:p>
      <w:pPr>
        <w:spacing w:after="0" w:line="180" w:lineRule="exact"/>
        <w:rPr>
          <w:sz w:val="20"/>
          <w:szCs w:val="20"/>
          <w:color w:val="auto"/>
        </w:rPr>
      </w:pPr>
    </w:p>
    <w:p>
      <w:pPr>
        <w:jc w:val="both"/>
        <w:ind w:firstLine="317"/>
        <w:spacing w:after="0" w:line="300" w:lineRule="auto"/>
        <w:rPr>
          <w:sz w:val="20"/>
          <w:szCs w:val="20"/>
          <w:color w:val="auto"/>
        </w:rPr>
      </w:pPr>
      <w:r>
        <w:rPr>
          <w:rFonts w:ascii="Times New Roman" w:cs="Times New Roman" w:eastAsia="Times New Roman" w:hAnsi="Times New Roman"/>
          <w:sz w:val="17"/>
          <w:szCs w:val="17"/>
          <w:color w:val="auto"/>
        </w:rPr>
        <w:t>Network medical expense is the cost of care delivered by our independent network providers and paid by Starling under our fully delegated contracts. For presentation purposes, we eliminate the portion of network medical expense that is paid to Starling PCs who participate in these fully delegated networks.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93"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auto"/>
        </w:rPr>
        <w:t>Selling, general and administrative expenses include employee-related expenses, including both clinic and field support staff as well as central administrative and corporate staff. These expenses include salaries and related costs and stock-based compensation for our executives and physicians. The Company's selling, general and administrative expenses also includes occupancy costs, technology infrastructure, operations, clinical and quality support, finance, legal, human resources, and business development. General and administrative expenses are expected to increase over time, due to the legal, accounting, insurance, investor relations and other costs that the Company incurs as a public company, as well as other costs associated with continuing to grow the business. While the Company expects its selling, general and administrative expenses to increase in absolute dollars in the foreseeable future. such expenses are on average expected to decrease as a percentage of revenue over the long term.</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Statements of Operations data expressed as a percentage of total revenues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633730</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5"/>
        </w:trPr>
        <w:tc>
          <w:tcPr>
            <w:tcW w:w="9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0" w:type="dxa"/>
            <w:vAlign w:val="bottom"/>
          </w:tcPr>
          <w:p>
            <w:pPr>
              <w:spacing w:after="0"/>
              <w:rPr>
                <w:sz w:val="1"/>
                <w:szCs w:val="1"/>
                <w:color w:val="auto"/>
              </w:rPr>
            </w:pPr>
          </w:p>
        </w:tc>
      </w:tr>
      <w:tr>
        <w:trPr>
          <w:trHeight w:val="238"/>
        </w:trPr>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58"/>
              <w:spacing w:after="0"/>
              <w:rPr>
                <w:sz w:val="20"/>
                <w:szCs w:val="20"/>
                <w:color w:val="auto"/>
              </w:rPr>
            </w:pPr>
            <w:r>
              <w:rPr>
                <w:rFonts w:ascii="Times New Roman" w:cs="Times New Roman" w:eastAsia="Times New Roman" w:hAnsi="Times New Roman"/>
                <w:sz w:val="18"/>
                <w:szCs w:val="18"/>
                <w:b w:val="1"/>
                <w:bCs w:val="1"/>
                <w:color w:val="auto"/>
              </w:rPr>
              <w:t>2026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46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4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Patient services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44.1 %</w:t>
            </w:r>
          </w:p>
        </w:tc>
        <w:tc>
          <w:tcPr>
            <w:tcW w:w="0" w:type="dxa"/>
            <w:vAlign w:val="bottom"/>
          </w:tcPr>
          <w:p>
            <w:pPr>
              <w:spacing w:after="0"/>
              <w:rPr>
                <w:sz w:val="1"/>
                <w:szCs w:val="1"/>
                <w:color w:val="auto"/>
              </w:rPr>
            </w:pPr>
          </w:p>
        </w:tc>
      </w:tr>
      <w:tr>
        <w:trPr>
          <w:trHeight w:val="258"/>
        </w:trPr>
        <w:tc>
          <w:tcPr>
            <w:tcW w:w="24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Specialty Pharmacy</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gridSpan w:val="5"/>
          </w:tcPr>
          <w:p>
            <w:pPr>
              <w:ind w:left="140"/>
              <w:spacing w:after="0"/>
              <w:rPr>
                <w:sz w:val="20"/>
                <w:szCs w:val="20"/>
                <w:color w:val="auto"/>
              </w:rPr>
            </w:pPr>
            <w:r>
              <w:rPr>
                <w:rFonts w:ascii="Times New Roman" w:cs="Times New Roman" w:eastAsia="Times New Roman" w:hAnsi="Times New Roman"/>
                <w:sz w:val="18"/>
                <w:szCs w:val="18"/>
                <w:color w:val="auto"/>
              </w:rPr>
              <w:t>Clinical trials &amp; other</w:t>
            </w:r>
          </w:p>
        </w:tc>
        <w:tc>
          <w:tcPr>
            <w:tcW w:w="4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51"/>
        </w:trPr>
        <w:tc>
          <w:tcPr>
            <w:tcW w:w="2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4"/>
        </w:trPr>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8"/>
              </w:rPr>
              <w:t>Operating expenses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4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costs – patient services</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0" w:type="dxa"/>
            <w:vAlign w:val="bottom"/>
          </w:tcPr>
          <w:p>
            <w:pPr>
              <w:spacing w:after="0"/>
              <w:rPr>
                <w:sz w:val="1"/>
                <w:szCs w:val="1"/>
                <w:color w:val="auto"/>
              </w:rPr>
            </w:pPr>
          </w:p>
        </w:tc>
      </w:tr>
      <w:tr>
        <w:trPr>
          <w:trHeight w:val="244"/>
        </w:trPr>
        <w:tc>
          <w:tcPr>
            <w:tcW w:w="282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Direct costs – specialty pharmacy</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0" w:type="dxa"/>
            <w:vAlign w:val="bottom"/>
          </w:tcPr>
          <w:p>
            <w:pPr>
              <w:spacing w:after="0"/>
              <w:rPr>
                <w:sz w:val="1"/>
                <w:szCs w:val="1"/>
                <w:color w:val="auto"/>
              </w:rPr>
            </w:pPr>
          </w:p>
        </w:tc>
      </w:tr>
      <w:tr>
        <w:trPr>
          <w:trHeight w:val="258"/>
        </w:trPr>
        <w:tc>
          <w:tcPr>
            <w:tcW w:w="2820" w:type="dxa"/>
            <w:vAlign w:val="bottom"/>
            <w:gridSpan w:val="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Direct costs – clinical trials &amp; other</w:t>
            </w: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4"/>
        </w:trPr>
        <w:tc>
          <w:tcPr>
            <w:tcW w:w="376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58"/>
        </w:trPr>
        <w:tc>
          <w:tcPr>
            <w:tcW w:w="240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101.7 %</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106.0 %</w:t>
            </w:r>
          </w:p>
        </w:tc>
        <w:tc>
          <w:tcPr>
            <w:tcW w:w="0" w:type="dxa"/>
            <w:vAlign w:val="bottom"/>
          </w:tcPr>
          <w:p>
            <w:pPr>
              <w:spacing w:after="0"/>
              <w:rPr>
                <w:sz w:val="1"/>
                <w:szCs w:val="1"/>
                <w:color w:val="auto"/>
              </w:rPr>
            </w:pPr>
          </w:p>
        </w:tc>
      </w:tr>
      <w:tr>
        <w:trPr>
          <w:trHeight w:val="251"/>
        </w:trPr>
        <w:tc>
          <w:tcPr>
            <w:tcW w:w="24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4"/>
        </w:trPr>
        <w:tc>
          <w:tcPr>
            <w:tcW w:w="2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9"/>
              </w:rPr>
              <w:t>Other non-operating expense (income)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4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4"/>
        </w:trPr>
        <w:tc>
          <w:tcPr>
            <w:tcW w:w="5440" w:type="dxa"/>
            <w:vAlign w:val="bottom"/>
            <w:gridSpan w:val="12"/>
          </w:tcPr>
          <w:p>
            <w:pPr>
              <w:ind w:left="100"/>
              <w:spacing w:after="0"/>
              <w:rPr>
                <w:sz w:val="20"/>
                <w:szCs w:val="20"/>
                <w:color w:val="auto"/>
              </w:rPr>
            </w:pPr>
            <w:r>
              <w:rPr>
                <w:rFonts w:ascii="Times New Roman" w:cs="Times New Roman" w:eastAsia="Times New Roman" w:hAnsi="Times New Roman"/>
                <w:sz w:val="18"/>
                <w:szCs w:val="18"/>
                <w:color w:val="auto"/>
                <w:w w:val="98"/>
              </w:rPr>
              <w:t>Change in fair value of warrant and conversion option derivative liabilities</w:t>
            </w: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58"/>
        </w:trPr>
        <w:tc>
          <w:tcPr>
            <w:tcW w:w="2400" w:type="dxa"/>
            <w:vAlign w:val="bottom"/>
            <w:gridSpan w:val="5"/>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4"/>
        </w:trPr>
        <w:tc>
          <w:tcPr>
            <w:tcW w:w="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4"/>
        </w:trPr>
        <w:tc>
          <w:tcPr>
            <w:tcW w:w="376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non-operating expense (income)</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44"/>
        </w:trPr>
        <w:tc>
          <w:tcPr>
            <w:tcW w:w="28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8"/>
              </w:rPr>
              <w:t>Loss before provision for income taxes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5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Income taxes</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0"/>
        </w:trPr>
        <w:tc>
          <w:tcPr>
            <w:tcW w:w="6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Comparison of the Three and Nine Months Ended September 30, 2026 and 2025</w:t>
            </w: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4"/>
        </w:trPr>
        <w:tc>
          <w:tcPr>
            <w:tcW w:w="6340" w:type="dxa"/>
            <w:vAlign w:val="bottom"/>
            <w:gridSpan w:val="14"/>
            <w:vMerge w:val="continue"/>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Revenue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Nine Months Ended September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78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20" w:type="dxa"/>
            <w:vAlign w:val="bottom"/>
          </w:tcPr>
          <w:p>
            <w:pPr>
              <w:spacing w:after="0"/>
              <w:rPr>
                <w:sz w:val="18"/>
                <w:szCs w:val="18"/>
                <w:color w:val="auto"/>
              </w:rPr>
            </w:pPr>
          </w:p>
        </w:tc>
        <w:tc>
          <w:tcPr>
            <w:tcW w:w="136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vMerge w:val="restart"/>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gridSpan w:val="2"/>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220"/>
        </w:trPr>
        <w:tc>
          <w:tcPr>
            <w:tcW w:w="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9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6"/>
                <w:szCs w:val="16"/>
                <w:color w:val="auto"/>
              </w:rPr>
              <w:t>Patient</w:t>
            </w:r>
          </w:p>
        </w:tc>
        <w:tc>
          <w:tcPr>
            <w:tcW w:w="28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60,013</w:t>
            </w:r>
          </w:p>
        </w:tc>
        <w:tc>
          <w:tcPr>
            <w:tcW w:w="120" w:type="dxa"/>
            <w:vAlign w:val="bottom"/>
            <w:shd w:val="clear" w:color="auto" w:fill="CCEEFF"/>
          </w:tcPr>
          <w:p>
            <w:pPr>
              <w:spacing w:after="0"/>
              <w:rPr>
                <w:sz w:val="14"/>
                <w:szCs w:val="14"/>
                <w:color w:val="auto"/>
              </w:rPr>
            </w:pPr>
          </w:p>
        </w:tc>
        <w:tc>
          <w:tcPr>
            <w:tcW w:w="420" w:type="dxa"/>
            <w:vAlign w:val="bottom"/>
            <w:vMerge w:val="restart"/>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60,195</w:t>
            </w:r>
          </w:p>
        </w:tc>
        <w:tc>
          <w:tcPr>
            <w:tcW w:w="1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177,927</w:t>
            </w:r>
          </w:p>
        </w:tc>
        <w:tc>
          <w:tcPr>
            <w:tcW w:w="40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169,154</w:t>
            </w:r>
          </w:p>
        </w:tc>
        <w:tc>
          <w:tcPr>
            <w:tcW w:w="620" w:type="dxa"/>
            <w:vAlign w:val="bottom"/>
            <w:gridSpan w:val="3"/>
            <w:vMerge w:val="restart"/>
            <w:shd w:val="clear" w:color="auto" w:fill="CCEEFF"/>
          </w:tcPr>
          <w:p>
            <w:pPr>
              <w:jc w:val="right"/>
              <w:ind w:right="29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8,773</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25"/>
        </w:trPr>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00" w:type="dxa"/>
            <w:vAlign w:val="bottom"/>
            <w:gridSpan w:val="3"/>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620" w:type="dxa"/>
            <w:vAlign w:val="bottom"/>
            <w:gridSpan w:val="3"/>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Specialty</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109,304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75,895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33,409</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295,453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187,761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107,692</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57.4 %</w:t>
            </w:r>
          </w:p>
        </w:tc>
        <w:tc>
          <w:tcPr>
            <w:tcW w:w="0" w:type="dxa"/>
            <w:vAlign w:val="bottom"/>
          </w:tcPr>
          <w:p>
            <w:pPr>
              <w:spacing w:after="0"/>
              <w:rPr>
                <w:sz w:val="1"/>
                <w:szCs w:val="1"/>
                <w:color w:val="auto"/>
              </w:rPr>
            </w:pPr>
          </w:p>
        </w:tc>
      </w:tr>
      <w:tr>
        <w:trPr>
          <w:trHeight w:val="216"/>
        </w:trPr>
        <w:tc>
          <w:tcPr>
            <w:tcW w:w="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Pharmacy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Clinical trials</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1,253</w:t>
            </w: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0" w:type="dxa"/>
            <w:vAlign w:val="bottom"/>
          </w:tcPr>
          <w:p>
            <w:pPr>
              <w:spacing w:after="0"/>
              <w:rPr>
                <w:sz w:val="1"/>
                <w:szCs w:val="1"/>
                <w:color w:val="auto"/>
              </w:rPr>
            </w:pPr>
          </w:p>
        </w:tc>
      </w:tr>
      <w:tr>
        <w:trPr>
          <w:trHeight w:val="225"/>
        </w:trPr>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&amp; other</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Total</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980" w:type="dxa"/>
            <w:vAlign w:val="bottom"/>
          </w:tcPr>
          <w:p>
            <w:pPr>
              <w:ind w:left="20"/>
              <w:spacing w:after="0" w:line="171" w:lineRule="exact"/>
              <w:rPr>
                <w:sz w:val="20"/>
                <w:szCs w:val="20"/>
                <w:color w:val="auto"/>
              </w:rPr>
            </w:pPr>
            <w:r>
              <w:rPr>
                <w:rFonts w:ascii="Times New Roman" w:cs="Times New Roman" w:eastAsia="Times New Roman" w:hAnsi="Times New Roman"/>
                <w:sz w:val="16"/>
                <w:szCs w:val="16"/>
                <w:b w:val="1"/>
                <w:bCs w:val="1"/>
                <w:color w:val="auto"/>
              </w:rPr>
              <w:t>operating</w:t>
            </w:r>
          </w:p>
        </w:tc>
        <w:tc>
          <w:tcPr>
            <w:tcW w:w="28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169,767</w:t>
            </w:r>
          </w:p>
        </w:tc>
        <w:tc>
          <w:tcPr>
            <w:tcW w:w="120" w:type="dxa"/>
            <w:vAlign w:val="bottom"/>
          </w:tcPr>
          <w:p>
            <w:pPr>
              <w:spacing w:after="0"/>
              <w:rPr>
                <w:sz w:val="14"/>
                <w:szCs w:val="14"/>
                <w:color w:val="auto"/>
              </w:rPr>
            </w:pPr>
          </w:p>
        </w:tc>
        <w:tc>
          <w:tcPr>
            <w:tcW w:w="420" w:type="dxa"/>
            <w:vAlign w:val="bottom"/>
            <w:vMerge w:val="restart"/>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136,564</w:t>
            </w:r>
          </w:p>
        </w:tc>
        <w:tc>
          <w:tcPr>
            <w:tcW w:w="100" w:type="dxa"/>
            <w:vAlign w:val="bottom"/>
          </w:tcPr>
          <w:p>
            <w:pPr>
              <w:spacing w:after="0"/>
              <w:rPr>
                <w:sz w:val="14"/>
                <w:szCs w:val="14"/>
                <w:color w:val="auto"/>
              </w:rPr>
            </w:pPr>
          </w:p>
        </w:tc>
        <w:tc>
          <w:tcPr>
            <w:tcW w:w="320" w:type="dxa"/>
            <w:vAlign w:val="bottom"/>
            <w:vMerge w:val="restart"/>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33,203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14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478,490</w:t>
            </w:r>
          </w:p>
        </w:tc>
        <w:tc>
          <w:tcPr>
            <w:tcW w:w="4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360,772</w:t>
            </w:r>
          </w:p>
        </w:tc>
        <w:tc>
          <w:tcPr>
            <w:tcW w:w="620" w:type="dxa"/>
            <w:vAlign w:val="bottom"/>
            <w:gridSpan w:val="3"/>
            <w:vMerge w:val="restart"/>
          </w:tcPr>
          <w:p>
            <w:pPr>
              <w:jc w:val="right"/>
              <w:ind w:right="29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117,718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32.6 %</w:t>
            </w:r>
          </w:p>
        </w:tc>
        <w:tc>
          <w:tcPr>
            <w:tcW w:w="0" w:type="dxa"/>
            <w:vAlign w:val="bottom"/>
          </w:tcPr>
          <w:p>
            <w:pPr>
              <w:spacing w:after="0"/>
              <w:rPr>
                <w:sz w:val="1"/>
                <w:szCs w:val="1"/>
                <w:color w:val="auto"/>
              </w:rPr>
            </w:pPr>
          </w:p>
        </w:tc>
      </w:tr>
      <w:tr>
        <w:trPr>
          <w:trHeight w:val="212"/>
        </w:trPr>
        <w:tc>
          <w:tcPr>
            <w:tcW w:w="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400" w:type="dxa"/>
            <w:vAlign w:val="bottom"/>
            <w:gridSpan w:val="3"/>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services</w:t>
      </w:r>
    </w:p>
    <w:p>
      <w:pPr>
        <w:spacing w:after="0" w:line="154" w:lineRule="exact"/>
        <w:rPr>
          <w:sz w:val="20"/>
          <w:szCs w:val="20"/>
          <w:color w:val="auto"/>
        </w:rPr>
      </w:pPr>
    </w:p>
    <w:p>
      <w:pPr>
        <w:ind w:right="200" w:firstLine="317"/>
        <w:spacing w:after="0" w:line="234" w:lineRule="auto"/>
        <w:rPr>
          <w:sz w:val="20"/>
          <w:szCs w:val="20"/>
          <w:color w:val="auto"/>
        </w:rPr>
      </w:pPr>
      <w:r>
        <w:rPr>
          <w:rFonts w:ascii="Times New Roman" w:cs="Times New Roman" w:eastAsia="Times New Roman" w:hAnsi="Times New Roman"/>
          <w:sz w:val="18"/>
          <w:szCs w:val="18"/>
          <w:color w:val="auto"/>
        </w:rPr>
        <w:t xml:space="preserve">The change in patient services revenue for the three and nine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compared to the same periods in the prior year was primarily due to a 40% and 47% increase in capitated revenue, respectively, partially offset by a 21% and 16% decrease in fee-for-service revenue, respectively. The increase in capitated revenue was driven by momentum in new markets in addition to the impact of our investments in referral relationship management and our ramp up in new capitated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534670</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9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pharmacy</w:t>
      </w:r>
    </w:p>
    <w:p>
      <w:pPr>
        <w:spacing w:after="0" w:line="180"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 xml:space="preserve">The increase in specialty pharmacy revenue for three and nine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as compared to the same periods in the prior year was primarily driven by continued strength in prescription fill volumes as the Company continues to bring new capitated lives onto the platform, along with the ongoing ramp of our Florida delegated arrangements.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&amp; other</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change in clinical trials &amp; other revenue for the three and nine months ended September 30, 2026, compared to the same periods in the prior year was due to the profit sharing arrangement with Helios described in Note 1 of the condensed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940" w:type="dxa"/>
            <w:vAlign w:val="bottom"/>
          </w:tcPr>
          <w:p>
            <w:pPr>
              <w:spacing w:after="0"/>
              <w:rPr>
                <w:sz w:val="16"/>
                <w:szCs w:val="16"/>
                <w:color w:val="auto"/>
              </w:rPr>
            </w:pPr>
          </w:p>
        </w:tc>
        <w:tc>
          <w:tcPr>
            <w:tcW w:w="290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16"/>
                <w:szCs w:val="16"/>
                <w:color w:val="auto"/>
              </w:rPr>
            </w:pPr>
          </w:p>
        </w:tc>
        <w:tc>
          <w:tcPr>
            <w:tcW w:w="10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200" w:type="dxa"/>
            <w:vAlign w:val="bottom"/>
          </w:tcPr>
          <w:p>
            <w:pPr>
              <w:spacing w:after="0"/>
              <w:rPr>
                <w:sz w:val="16"/>
                <w:szCs w:val="16"/>
                <w:color w:val="auto"/>
              </w:rPr>
            </w:pPr>
          </w:p>
        </w:tc>
        <w:tc>
          <w:tcPr>
            <w:tcW w:w="1180" w:type="dxa"/>
            <w:vAlign w:val="bottom"/>
            <w:gridSpan w:val="3"/>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2900" w:type="dxa"/>
            <w:vAlign w:val="bottom"/>
            <w:gridSpan w:val="5"/>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0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 patient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$56,239</w:t>
            </w:r>
          </w:p>
        </w:tc>
        <w:tc>
          <w:tcPr>
            <w:tcW w:w="10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$166,393</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152,802</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 specialty</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82,858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230,947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49.9 %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pharmacy</w:t>
            </w: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 – clinical</w:t>
            </w:r>
          </w:p>
        </w:tc>
        <w:tc>
          <w:tcPr>
            <w:tcW w:w="144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3"/>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trials &amp; other</w:t>
            </w:r>
          </w:p>
        </w:tc>
        <w:tc>
          <w:tcPr>
            <w:tcW w:w="144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3"/>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14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90,285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77,534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w:t>
            </w: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w:t>
            </w:r>
          </w:p>
        </w:tc>
        <w:tc>
          <w:tcPr>
            <w:tcW w:w="140" w:type="dxa"/>
            <w:vAlign w:val="bottom"/>
            <w:shd w:val="clear" w:color="auto" w:fill="CCEEFF"/>
          </w:tcPr>
          <w:p>
            <w:pPr>
              <w:spacing w:after="0"/>
              <w:rPr>
                <w:sz w:val="19"/>
                <w:szCs w:val="19"/>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Total operating expenses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$172,749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144,618</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4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$492,601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389,948</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102,653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Patient services cost</w:t>
      </w:r>
    </w:p>
    <w:p>
      <w:pPr>
        <w:spacing w:after="0" w:line="180"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 xml:space="preserve">The increase in patient services cost for the three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as compared to the prior year period was primarily due to a 16.3% increase in clinical payroll costs as the Company adjusts physician compensation to better match performance and volume and a 424.3% increase in network medical expense, partially offset by a 20.5% decrease in IV drug costs as the Company leverages its rebate programs with its primary drug distributor. The increase in patient services costs for the nine months ended </w:t>
      </w:r>
      <w:r>
        <w:rPr>
          <w:rFonts w:ascii="Times New Roman" w:cs="Times New Roman" w:eastAsia="Times New Roman" w:hAnsi="Times New Roman"/>
          <w:sz w:val="18"/>
          <w:szCs w:val="18"/>
          <w:color w:val="231F20"/>
        </w:rPr>
        <w:t>September 30, 2026 as compared to the prior year period was primarily due to increases in 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payroll costs, partially offset by a decrease in IV drug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Specialty pharmacy cost</w:t>
      </w:r>
    </w:p>
    <w:p>
      <w:pPr>
        <w:spacing w:after="0" w:line="180" w:lineRule="exact"/>
        <w:rPr>
          <w:sz w:val="20"/>
          <w:szCs w:val="20"/>
          <w:color w:val="auto"/>
        </w:rPr>
      </w:pPr>
    </w:p>
    <w:p>
      <w:pPr>
        <w:jc w:val="both"/>
        <w:ind w:firstLine="317"/>
        <w:spacing w:after="0" w:line="273" w:lineRule="auto"/>
        <w:rPr>
          <w:sz w:val="20"/>
          <w:szCs w:val="20"/>
          <w:color w:val="auto"/>
        </w:rPr>
      </w:pPr>
      <w:r>
        <w:rPr>
          <w:rFonts w:ascii="Times New Roman" w:cs="Times New Roman" w:eastAsia="Times New Roman" w:hAnsi="Times New Roman"/>
          <w:sz w:val="17"/>
          <w:szCs w:val="17"/>
          <w:color w:val="auto"/>
        </w:rPr>
        <w:t xml:space="preserve">The increase in specialty pharmacy cost for the three months ended </w:t>
      </w:r>
      <w:r>
        <w:rPr>
          <w:rFonts w:ascii="Times New Roman" w:cs="Times New Roman" w:eastAsia="Times New Roman" w:hAnsi="Times New Roman"/>
          <w:sz w:val="17"/>
          <w:szCs w:val="17"/>
          <w:color w:val="231F20"/>
        </w:rPr>
        <w:t>September 30, 2026</w:t>
      </w:r>
      <w:r>
        <w:rPr>
          <w:rFonts w:ascii="Times New Roman" w:cs="Times New Roman" w:eastAsia="Times New Roman" w:hAnsi="Times New Roman"/>
          <w:sz w:val="17"/>
          <w:szCs w:val="17"/>
          <w:color w:val="auto"/>
        </w:rPr>
        <w:t xml:space="preserve"> was primarily due to a 54.1% increase in the number of prescriptions filled offset by a 14.8% decrease in the average cost of the prescriptions filled, as compared to the three months ended September 30, 2025. The increase in specialty pharmacy cost for the nine months ended </w:t>
      </w:r>
      <w:r>
        <w:rPr>
          <w:rFonts w:ascii="Times New Roman" w:cs="Times New Roman" w:eastAsia="Times New Roman" w:hAnsi="Times New Roman"/>
          <w:sz w:val="17"/>
          <w:szCs w:val="17"/>
          <w:color w:val="231F20"/>
        </w:rPr>
        <w:t>September 30, 2026</w:t>
      </w:r>
      <w:r>
        <w:rPr>
          <w:rFonts w:ascii="Times New Roman" w:cs="Times New Roman" w:eastAsia="Times New Roman" w:hAnsi="Times New Roman"/>
          <w:sz w:val="17"/>
          <w:szCs w:val="17"/>
          <w:color w:val="auto"/>
        </w:rPr>
        <w:t xml:space="preserve"> was primarily due to a 77.5% increase in the number of prescriptions filled, partially offset by a 15.5% decrease in the average cost of the prescriptions filled, as compared to the nine months ended September 30,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93" w:lineRule="exact"/>
        <w:rPr>
          <w:sz w:val="20"/>
          <w:szCs w:val="20"/>
          <w:color w:val="auto"/>
        </w:rPr>
      </w:pPr>
    </w:p>
    <w:p>
      <w:pPr>
        <w:ind w:firstLine="317"/>
        <w:spacing w:after="0" w:line="239" w:lineRule="auto"/>
        <w:rPr>
          <w:sz w:val="20"/>
          <w:szCs w:val="20"/>
          <w:color w:val="auto"/>
        </w:rPr>
      </w:pPr>
      <w:r>
        <w:rPr>
          <w:rFonts w:ascii="Times New Roman" w:cs="Times New Roman" w:eastAsia="Times New Roman" w:hAnsi="Times New Roman"/>
          <w:sz w:val="18"/>
          <w:szCs w:val="18"/>
          <w:color w:val="auto"/>
        </w:rPr>
        <w:t xml:space="preserve">Selling, general and administrative ("SG&amp;A") expenses for the three and nine months ended </w:t>
      </w:r>
      <w:r>
        <w:rPr>
          <w:rFonts w:ascii="Times New Roman" w:cs="Times New Roman" w:eastAsia="Times New Roman" w:hAnsi="Times New Roman"/>
          <w:sz w:val="18"/>
          <w:szCs w:val="18"/>
          <w:color w:val="231F20"/>
        </w:rPr>
        <w:t>September 30, 2026 increased</w:t>
      </w:r>
      <w:r>
        <w:rPr>
          <w:rFonts w:ascii="Times New Roman" w:cs="Times New Roman" w:eastAsia="Times New Roman" w:hAnsi="Times New Roman"/>
          <w:sz w:val="18"/>
          <w:szCs w:val="18"/>
          <w:color w:val="auto"/>
        </w:rPr>
        <w:t xml:space="preserve"> 27.2%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auto"/>
        </w:rPr>
        <w:t xml:space="preserve"> 16.4%</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respectively, compared to the same periods in the prior year primarily due to the scaling of our business. As a percentage of revenue, SG&amp;A increased </w:t>
      </w:r>
      <w:r>
        <w:rPr>
          <w:rFonts w:ascii="Times New Roman" w:cs="Times New Roman" w:eastAsia="Times New Roman" w:hAnsi="Times New Roman"/>
          <w:sz w:val="18"/>
          <w:szCs w:val="18"/>
          <w:color w:val="000000"/>
        </w:rPr>
        <w:t>0.4%</w:t>
      </w:r>
      <w:r>
        <w:rPr>
          <w:rFonts w:ascii="Times New Roman" w:cs="Times New Roman" w:eastAsia="Times New Roman" w:hAnsi="Times New Roman"/>
          <w:sz w:val="18"/>
          <w:szCs w:val="18"/>
          <w:color w:val="231F20"/>
        </w:rPr>
        <w:t xml:space="preserve"> and decreased </w:t>
      </w:r>
      <w:r>
        <w:rPr>
          <w:rFonts w:ascii="Times New Roman" w:cs="Times New Roman" w:eastAsia="Times New Roman" w:hAnsi="Times New Roman"/>
          <w:sz w:val="18"/>
          <w:szCs w:val="18"/>
          <w:color w:val="000000"/>
        </w:rPr>
        <w:t>2.6%</w:t>
      </w:r>
      <w:r>
        <w:rPr>
          <w:rFonts w:ascii="Times New Roman" w:cs="Times New Roman" w:eastAsia="Times New Roman" w:hAnsi="Times New Roman"/>
          <w:sz w:val="18"/>
          <w:szCs w:val="18"/>
          <w:color w:val="231F20"/>
        </w:rPr>
        <w:t xml:space="preserve"> for the three and nine months ended September 30, 2026 as compared to the same period in the prior year, respectively, which reflected the operating leverage built into the model as the Company's continues to scale, along with cost discipline. The decrease for the nine months is due to the renegotiation and reduction of certain fixed corporate spend not integral to the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677545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Expense (Income)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80" w:type="dxa"/>
            <w:vAlign w:val="bottom"/>
            <w:gridSpan w:val="7"/>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30,</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gridSpan w:val="3"/>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(dollars in</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vMerge w:val="restart"/>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vMerge w:val="restart"/>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i w:val="1"/>
                <w:iCs w:val="1"/>
                <w:color w:val="auto"/>
              </w:rPr>
              <w:t>thousands)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6,479</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Change in fair value</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of warrant and</w:t>
            </w: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38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conversion option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derivative</w:t>
            </w:r>
          </w:p>
        </w:tc>
        <w:tc>
          <w:tcPr>
            <w:tcW w:w="2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13,519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(15,433)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on debt</w:t>
            </w:r>
          </w:p>
        </w:tc>
        <w:tc>
          <w:tcPr>
            <w:tcW w:w="26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extinguishment</w:t>
            </w:r>
          </w:p>
        </w:tc>
        <w:tc>
          <w:tcPr>
            <w:tcW w:w="2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Other,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other non-</w:t>
            </w: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12,766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8,450</w:t>
            </w:r>
          </w:p>
        </w:tc>
        <w:tc>
          <w:tcPr>
            <w:tcW w:w="100" w:type="dxa"/>
            <w:vAlign w:val="bottom"/>
          </w:tcPr>
          <w:p>
            <w:pPr>
              <w:spacing w:after="0"/>
              <w:rPr>
                <w:sz w:val="16"/>
                <w:szCs w:val="16"/>
                <w:color w:val="auto"/>
              </w:rPr>
            </w:pPr>
          </w:p>
        </w:tc>
        <w:tc>
          <w:tcPr>
            <w:tcW w:w="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51.1 %</w:t>
            </w:r>
          </w:p>
        </w:tc>
        <w:tc>
          <w:tcPr>
            <w:tcW w:w="140" w:type="dxa"/>
            <w:vAlign w:val="bottom"/>
          </w:tcPr>
          <w:p>
            <w:pPr>
              <w:spacing w:after="0"/>
              <w:rPr>
                <w:sz w:val="16"/>
                <w:szCs w:val="16"/>
                <w:color w:val="auto"/>
              </w:rPr>
            </w:pPr>
          </w:p>
        </w:tc>
        <w:tc>
          <w:tcPr>
            <w:tcW w:w="2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40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24,053</w:t>
            </w:r>
          </w:p>
        </w:tc>
        <w:tc>
          <w:tcPr>
            <w:tcW w:w="120" w:type="dxa"/>
            <w:vAlign w:val="bottom"/>
          </w:tcPr>
          <w:p>
            <w:pPr>
              <w:spacing w:after="0"/>
              <w:rPr>
                <w:sz w:val="16"/>
                <w:szCs w:val="16"/>
                <w:color w:val="auto"/>
              </w:rPr>
            </w:pPr>
          </w:p>
        </w:tc>
        <w:tc>
          <w:tcPr>
            <w:tcW w:w="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(10,135)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6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400" w:type="dxa"/>
            <w:vAlign w:val="bottom"/>
            <w:gridSpan w:val="3"/>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80"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auto"/>
        </w:rPr>
        <w:t xml:space="preserve">The decrease in interest expense for the three and nine months ended </w:t>
      </w:r>
      <w:r>
        <w:rPr>
          <w:rFonts w:ascii="Times New Roman" w:cs="Times New Roman" w:eastAsia="Times New Roman" w:hAnsi="Times New Roman"/>
          <w:sz w:val="18"/>
          <w:szCs w:val="18"/>
          <w:color w:val="231F20"/>
        </w:rPr>
        <w:t>September 30, 2026</w:t>
      </w:r>
      <w:r>
        <w:rPr>
          <w:rFonts w:ascii="Times New Roman" w:cs="Times New Roman" w:eastAsia="Times New Roman" w:hAnsi="Times New Roman"/>
          <w:sz w:val="18"/>
          <w:szCs w:val="18"/>
          <w:color w:val="auto"/>
        </w:rPr>
        <w:t xml:space="preserve"> compared to the prior year periods was primarily the result of a prepayment and debt conversion related to the Senior Secured Convertible Note during the first quarter of 2025. The decrease in the principal balance of the Senior Secured Convertible Notes decreased the Company's interest payments for the remainder of 2025 and continuing into 2026. Additionally, the decrease is due to the payoff of the Senior Secured Convertible Notes in July 2026 and lower debt amortization related to the Senior Secured Term Loan.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liabilities</w:t>
      </w:r>
    </w:p>
    <w:p>
      <w:pPr>
        <w:spacing w:after="0" w:line="180"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 xml:space="preserve">The change in the fair value of liabilities was primarily due to the change in the fair value of liability classified warrants and conversion option derivative liabilities due to stock price fluctuations, term, risk-free rates and volatility for the three and nine months ended </w:t>
      </w:r>
      <w:r>
        <w:rPr>
          <w:rFonts w:ascii="Times New Roman" w:cs="Times New Roman" w:eastAsia="Times New Roman" w:hAnsi="Times New Roman"/>
          <w:sz w:val="18"/>
          <w:szCs w:val="18"/>
          <w:color w:val="231F20"/>
        </w:rPr>
        <w:t>September 30, 2026, as compared to the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91"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In addition to our financial information, the Company's management reviews a number of operating and financial metrics, including the following key metrics, to evaluate our business, measure our performance, identify trends affecting our business, formulate business plans, and make strategic decisions.</w:t>
      </w:r>
    </w:p>
    <w:p>
      <w:pPr>
        <w:spacing w:after="0" w:line="179" w:lineRule="exact"/>
        <w:rPr>
          <w:sz w:val="20"/>
          <w:szCs w:val="20"/>
          <w:color w:val="auto"/>
        </w:rPr>
      </w:pPr>
    </w:p>
    <w:tbl>
      <w:tblPr>
        <w:tblLayout w:type="fixed"/>
        <w:tblInd w:w="260" w:type="dxa"/>
        <w:tblCellMar>
          <w:top w:w="0" w:type="dxa"/>
          <w:left w:w="0" w:type="dxa"/>
          <w:bottom w:w="0" w:type="dxa"/>
          <w:right w:w="0" w:type="dxa"/>
        </w:tblCellMar>
      </w:tblPr>
      <w:tr>
        <w:trPr>
          <w:trHeight w:val="244"/>
        </w:trPr>
        <w:tc>
          <w:tcPr>
            <w:tcW w:w="3860" w:type="dxa"/>
            <w:vAlign w:val="bottom"/>
          </w:tcPr>
          <w:p>
            <w:pPr>
              <w:spacing w:after="0"/>
              <w:rPr>
                <w:sz w:val="21"/>
                <w:szCs w:val="21"/>
                <w:color w:val="auto"/>
              </w:rPr>
            </w:pPr>
          </w:p>
        </w:tc>
        <w:tc>
          <w:tcPr>
            <w:tcW w:w="372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29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8"/>
        </w:trPr>
        <w:tc>
          <w:tcPr>
            <w:tcW w:w="386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r>
      <w:tr>
        <w:trPr>
          <w:trHeight w:val="218"/>
        </w:trPr>
        <w:tc>
          <w:tcPr>
            <w:tcW w:w="386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color w:val="auto"/>
              </w:rPr>
              <w:t xml:space="preserve">Affiliated and Network Clinics </w:t>
            </w:r>
            <w:r>
              <w:rPr>
                <w:rFonts w:ascii="Times New Roman" w:cs="Times New Roman" w:eastAsia="Times New Roman" w:hAnsi="Times New Roman"/>
                <w:sz w:val="22"/>
                <w:szCs w:val="22"/>
                <w:color w:val="auto"/>
                <w:vertAlign w:val="superscript"/>
              </w:rPr>
              <w:t>(1)</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r>
      <w:tr>
        <w:trPr>
          <w:trHeight w:val="22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r>
      <w:tr>
        <w:trPr>
          <w:trHeight w:val="224"/>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Lives under value-based contracts (millions)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r>
      <w:tr>
        <w:trPr>
          <w:trHeight w:val="31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(in thousands) </w:t>
            </w:r>
            <w:r>
              <w:rPr>
                <w:rFonts w:ascii="Times New Roman" w:cs="Times New Roman" w:eastAsia="Times New Roman" w:hAnsi="Times New Roman"/>
                <w:sz w:val="22"/>
                <w:szCs w:val="22"/>
                <w:color w:val="auto"/>
                <w:vertAlign w:val="superscript"/>
              </w:rPr>
              <w:t>(2)</w:t>
            </w:r>
          </w:p>
        </w:tc>
        <w:tc>
          <w:tcPr>
            <w:tcW w:w="116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20" w:type="dxa"/>
            <w:vAlign w:val="bottom"/>
          </w:tcPr>
          <w:p>
            <w:pPr>
              <w:spacing w:after="0"/>
              <w:rPr>
                <w:sz w:val="24"/>
                <w:szCs w:val="24"/>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tcPr>
          <w:p>
            <w:pPr>
              <w:spacing w:after="0"/>
              <w:rPr>
                <w:sz w:val="24"/>
                <w:szCs w:val="24"/>
                <w:color w:val="auto"/>
              </w:rPr>
            </w:pPr>
          </w:p>
        </w:tc>
      </w:tr>
    </w:tbl>
    <w:p>
      <w:pPr>
        <w:spacing w:after="0" w:line="165" w:lineRule="exact"/>
        <w:rPr>
          <w:sz w:val="20"/>
          <w:szCs w:val="20"/>
          <w:color w:val="auto"/>
        </w:rPr>
      </w:pPr>
    </w:p>
    <w:p>
      <w:pPr>
        <w:ind w:left="240" w:hanging="234"/>
        <w:spacing w:after="0" w:line="284" w:lineRule="auto"/>
        <w:tabs>
          <w:tab w:leader="none" w:pos="164"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Number of clinics operated under the Starling PCs, whereby we receive a percentage of revenue under our management services agreements, or MSAs, and are consolidated. Additionally, includes independent oncology practices to which we provide limited management services and have network provider agreements, but do not bear the operating costs.</w:t>
      </w:r>
    </w:p>
    <w:p>
      <w:pPr>
        <w:spacing w:after="0" w:line="329" w:lineRule="exact"/>
        <w:rPr>
          <w:rFonts w:ascii="Times New Roman" w:cs="Times New Roman" w:eastAsia="Times New Roman" w:hAnsi="Times New Roman"/>
          <w:sz w:val="20"/>
          <w:szCs w:val="20"/>
          <w:color w:val="auto"/>
          <w:vertAlign w:val="superscript"/>
        </w:rPr>
      </w:pPr>
    </w:p>
    <w:p>
      <w:pPr>
        <w:ind w:left="240" w:hanging="234"/>
        <w:spacing w:after="0" w:line="292" w:lineRule="auto"/>
        <w:tabs>
          <w:tab w:leader="none" w:pos="164"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Adjusted EBITDA is a "non-GAAP" financial measure within the meaning of Item 10 of Regulation S-K promulgated by the SEC. The Company defines Adjusted EBITDA as net income (loss) adjusting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610235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18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payments and penalties</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addbacks,</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w:t>
      </w:r>
    </w:p>
    <w:p>
      <w:pPr>
        <w:spacing w:after="0" w:line="18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fair value of liabilities,</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(gains) losses on investments</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debt extinguishment</w:t>
      </w:r>
    </w:p>
    <w:p>
      <w:pPr>
        <w:spacing w:after="0" w:line="18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 acquisition-related costs,</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combination compensation,</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certain one-time legal fees,</w:t>
      </w:r>
    </w:p>
    <w:p>
      <w:pPr>
        <w:spacing w:after="0" w:line="18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and workforce costs, and</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w:t>
      </w:r>
    </w:p>
    <w:p>
      <w:pPr>
        <w:spacing w:after="0" w:line="176"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Company includes Adjusted EBITDA because it is an important measure which our management uses to assess the results of operations, to evaluate factors and trends affecting the business, and to plan and forecast future periods.</w:t>
      </w:r>
    </w:p>
    <w:p>
      <w:pPr>
        <w:spacing w:after="0" w:line="128" w:lineRule="exact"/>
        <w:rPr>
          <w:sz w:val="20"/>
          <w:szCs w:val="20"/>
          <w:color w:val="auto"/>
        </w:rPr>
      </w:pPr>
    </w:p>
    <w:p>
      <w:pPr>
        <w:jc w:val="both"/>
        <w:ind w:firstLine="317"/>
        <w:spacing w:after="0" w:line="233" w:lineRule="auto"/>
        <w:rPr>
          <w:sz w:val="20"/>
          <w:szCs w:val="20"/>
          <w:color w:val="auto"/>
        </w:rPr>
      </w:pPr>
      <w:r>
        <w:rPr>
          <w:rFonts w:ascii="Times New Roman" w:cs="Times New Roman" w:eastAsia="Times New Roman" w:hAnsi="Times New Roman"/>
          <w:sz w:val="18"/>
          <w:szCs w:val="18"/>
          <w:color w:val="auto"/>
        </w:rPr>
        <w:t>Management believes that this measure provides an additional tool to assess operational performance and trends in, and comparing our financial measures with, other similar companies, many of which present similar non-GAAP financial measures to investors. Be aware that the Company’s non-GAAP financial measure may be different from the non-GAAP financial measures used by other companies, including the Company’s competitors. The use of non-GAAP financial measures is not intended to be considered in isolation or as a substitute for, or superior to, financial measures determined in accordance with GAAP. Management encourages investors and others to review the Company's financial information in its entirety, including the financial statements and the related notes thereto, and not to rely on any single financial measure.</w:t>
      </w:r>
    </w:p>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provide a reconciliation of net loss, the most closely comparable GAAP financial measure, to Adjusted EBITDA: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8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60" w:type="dxa"/>
            <w:vAlign w:val="bottom"/>
          </w:tcPr>
          <w:p>
            <w:pPr>
              <w:spacing w:after="0"/>
              <w:rPr>
                <w:sz w:val="20"/>
                <w:szCs w:val="20"/>
                <w:color w:val="auto"/>
              </w:rPr>
            </w:pPr>
          </w:p>
        </w:tc>
        <w:tc>
          <w:tcPr>
            <w:tcW w:w="142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Pr>
          <w:p>
            <w:pPr>
              <w:spacing w:after="0"/>
              <w:rPr>
                <w:sz w:val="20"/>
                <w:szCs w:val="20"/>
                <w:color w:val="auto"/>
              </w:rPr>
            </w:pPr>
          </w:p>
        </w:tc>
      </w:tr>
      <w:tr>
        <w:trPr>
          <w:trHeight w:val="24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34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(16,504)</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5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and other taxes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5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addbacks</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31.6 %</w:t>
            </w:r>
          </w:p>
        </w:tc>
      </w:tr>
      <w:tr>
        <w:trPr>
          <w:trHeight w:val="25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liabilities</w:t>
            </w:r>
          </w:p>
        </w:tc>
        <w:tc>
          <w:tcPr>
            <w:tcW w:w="3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51"/>
        </w:trPr>
        <w:tc>
          <w:tcPr>
            <w:tcW w:w="3500" w:type="dxa"/>
            <w:vAlign w:val="bottom"/>
          </w:tcPr>
          <w:p>
            <w:pPr>
              <w:ind w:left="20"/>
              <w:spacing w:after="0" w:line="251" w:lineRule="exact"/>
              <w:rPr>
                <w:sz w:val="20"/>
                <w:szCs w:val="20"/>
                <w:color w:val="auto"/>
              </w:rPr>
            </w:pPr>
            <w:r>
              <w:rPr>
                <w:rFonts w:ascii="Times New Roman" w:cs="Times New Roman" w:eastAsia="Times New Roman" w:hAnsi="Times New Roman"/>
                <w:sz w:val="18"/>
                <w:szCs w:val="18"/>
                <w:color w:val="auto"/>
              </w:rPr>
              <w:t>Loss on debt extinguishment</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Post-combination compensation expense</w:t>
            </w:r>
          </w:p>
        </w:tc>
        <w:tc>
          <w:tcPr>
            <w:tcW w:w="3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1"/>
        </w:trPr>
        <w:tc>
          <w:tcPr>
            <w:tcW w:w="3500" w:type="dxa"/>
            <w:vAlign w:val="bottom"/>
          </w:tcPr>
          <w:p>
            <w:pPr>
              <w:ind w:left="20"/>
              <w:spacing w:after="0" w:line="251" w:lineRule="exact"/>
              <w:rPr>
                <w:sz w:val="20"/>
                <w:szCs w:val="20"/>
                <w:color w:val="auto"/>
              </w:rPr>
            </w:pPr>
            <w:r>
              <w:rPr>
                <w:rFonts w:ascii="Times New Roman" w:cs="Times New Roman" w:eastAsia="Times New Roman" w:hAnsi="Times New Roman"/>
                <w:sz w:val="18"/>
                <w:szCs w:val="18"/>
                <w:color w:val="auto"/>
              </w:rPr>
              <w:t>Consulting fees</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51"/>
        </w:trPr>
        <w:tc>
          <w:tcPr>
            <w:tcW w:w="350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Infrastructure and workforce costs</w:t>
            </w:r>
            <w:r>
              <w:rPr>
                <w:rFonts w:ascii="Times New Roman" w:cs="Times New Roman" w:eastAsia="Times New Roman" w:hAnsi="Times New Roman"/>
                <w:sz w:val="22"/>
                <w:szCs w:val="22"/>
                <w:color w:val="auto"/>
                <w:vertAlign w:val="superscript"/>
              </w:rPr>
              <w:t>(4)</w:t>
            </w:r>
          </w:p>
        </w:tc>
        <w:tc>
          <w:tcPr>
            <w:tcW w:w="3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w:t>
            </w:r>
          </w:p>
        </w:tc>
        <w:tc>
          <w:tcPr>
            <w:tcW w:w="16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153.3 %</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60" w:type="dxa"/>
            <w:vAlign w:val="bottom"/>
          </w:tcPr>
          <w:p>
            <w:pPr>
              <w:spacing w:after="0"/>
              <w:rPr>
                <w:sz w:val="21"/>
                <w:szCs w:val="21"/>
                <w:color w:val="auto"/>
              </w:rPr>
            </w:pPr>
          </w:p>
        </w:tc>
        <w:tc>
          <w:tcPr>
            <w:tcW w:w="122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0"/>
        </w:trPr>
        <w:tc>
          <w:tcPr>
            <w:tcW w:w="3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240" w:hanging="234"/>
        <w:spacing w:after="0" w:line="230" w:lineRule="auto"/>
        <w:tabs>
          <w:tab w:leader="none" w:pos="25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three months ended September 30, 2026, non-cash addbacks was primarily comprised of non-cash rent expense. During the three months ended September 30, 2025, non-cash addbacks was primarily comprised of certain expenses incurred through our shared services agreement with Helios of $318, offset by non-cash rent expense of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642620</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ind w:left="240" w:hanging="234"/>
        <w:spacing w:after="0" w:line="224" w:lineRule="auto"/>
        <w:tabs>
          <w:tab w:leader="none" w:pos="25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Loss on debt extinguishment was due to the extinguishment of the Senior Secured Convertible Note along with the issuance of warrants and recognition of the Senior Term Loan.</w:t>
      </w:r>
    </w:p>
    <w:p>
      <w:pPr>
        <w:spacing w:after="0" w:line="154" w:lineRule="exact"/>
        <w:rPr>
          <w:rFonts w:ascii="Times New Roman" w:cs="Times New Roman" w:eastAsia="Times New Roman" w:hAnsi="Times New Roman"/>
          <w:sz w:val="23"/>
          <w:szCs w:val="23"/>
          <w:color w:val="auto"/>
          <w:vertAlign w:val="superscript"/>
        </w:rPr>
      </w:pPr>
    </w:p>
    <w:p>
      <w:pPr>
        <w:jc w:val="both"/>
        <w:ind w:left="240" w:hanging="234"/>
        <w:spacing w:after="0" w:line="230" w:lineRule="auto"/>
        <w:tabs>
          <w:tab w:leader="none" w:pos="276"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Consulting fees were comprised of a subset of the Company’s total consulting fees primarily related to certain non-recurring advisory projects during the three months ended September 30, 2026 and 2025. Certain amounts for the three months ended September 30, 2026 were reclassified to infrastructure and workforce costs. See footnote 4.</w:t>
      </w:r>
    </w:p>
    <w:p>
      <w:pPr>
        <w:spacing w:after="0" w:line="168" w:lineRule="exact"/>
        <w:rPr>
          <w:rFonts w:ascii="Times New Roman" w:cs="Times New Roman" w:eastAsia="Times New Roman" w:hAnsi="Times New Roman"/>
          <w:sz w:val="23"/>
          <w:szCs w:val="23"/>
          <w:color w:val="auto"/>
          <w:vertAlign w:val="superscript"/>
        </w:rPr>
      </w:pPr>
    </w:p>
    <w:p>
      <w:pPr>
        <w:jc w:val="both"/>
        <w:ind w:left="240" w:hanging="234"/>
        <w:spacing w:after="0" w:line="233" w:lineRule="auto"/>
        <w:tabs>
          <w:tab w:leader="none" w:pos="302"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Infrastructure and workforce costs were primarily comprised of recruiting and signing bonus expenses to build out corporate infrastructure of $278 and $207, rebranding expenses of $2,202 and $0, severance expenses resulting from cost rationalization programs of $165 and $40, stop-loss contract timing of approximately $0 and $62, and non-recurring legal fees related to infrastructure build-out and settlements of $654 and $551 during the three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392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20" w:type="dxa"/>
            <w:vAlign w:val="bottom"/>
          </w:tcPr>
          <w:p>
            <w:pPr>
              <w:spacing w:after="0"/>
              <w:rPr>
                <w:sz w:val="20"/>
                <w:szCs w:val="20"/>
                <w:color w:val="auto"/>
              </w:rPr>
            </w:pPr>
          </w:p>
        </w:tc>
        <w:tc>
          <w:tcPr>
            <w:tcW w:w="14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tcPr>
          <w:p>
            <w:pPr>
              <w:spacing w:after="0"/>
              <w:rPr>
                <w:sz w:val="20"/>
                <w:szCs w:val="20"/>
                <w:color w:val="auto"/>
              </w:rPr>
            </w:pPr>
          </w:p>
        </w:tc>
      </w:tr>
      <w:tr>
        <w:trPr>
          <w:trHeight w:val="244"/>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79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(28,029)</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(53,098)</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and other taxes</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r>
      <w:tr>
        <w:trPr>
          <w:trHeight w:val="25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addbacks(1)</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w:t>
            </w:r>
          </w:p>
        </w:tc>
      </w:tr>
      <w:tr>
        <w:trPr>
          <w:trHeight w:val="258"/>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of liabilities</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investments</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1"/>
        </w:trPr>
        <w:tc>
          <w:tcPr>
            <w:tcW w:w="350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Loss on debt extinguishment</w:t>
            </w:r>
            <w:r>
              <w:rPr>
                <w:rFonts w:ascii="Times New Roman" w:cs="Times New Roman" w:eastAsia="Times New Roman" w:hAnsi="Times New Roman"/>
                <w:sz w:val="22"/>
                <w:szCs w:val="22"/>
                <w:color w:val="auto"/>
                <w:vertAlign w:val="superscript"/>
              </w:rPr>
              <w:t>(2)</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Post-combination compensation expense</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Consulting fees(3)</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5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and workforce costs(4)</w:t>
            </w:r>
          </w:p>
        </w:tc>
        <w:tc>
          <w:tcPr>
            <w:tcW w:w="1080" w:type="dxa"/>
            <w:vAlign w:val="bottom"/>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60" w:type="dxa"/>
            <w:vAlign w:val="bottom"/>
          </w:tcPr>
          <w:p>
            <w:pPr>
              <w:spacing w:after="0"/>
              <w:rPr>
                <w:sz w:val="21"/>
                <w:szCs w:val="21"/>
                <w:color w:val="auto"/>
              </w:rPr>
            </w:pPr>
          </w:p>
        </w:tc>
        <w:tc>
          <w:tcPr>
            <w:tcW w:w="1220" w:type="dxa"/>
            <w:vAlign w:val="bottom"/>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51"/>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costs</w:t>
            </w:r>
          </w:p>
        </w:tc>
        <w:tc>
          <w:tcPr>
            <w:tcW w:w="10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80" w:type="dxa"/>
            <w:vAlign w:val="bottom"/>
            <w:tcBorders>
              <w:top w:val="single" w:sz="8" w:color="auto"/>
              <w:bottom w:val="single" w:sz="8" w:color="auto"/>
            </w:tcBorders>
          </w:tcPr>
          <w:p>
            <w:pPr>
              <w:jc w:val="right"/>
              <w:ind w:right="87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6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10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81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13,740</w:t>
            </w:r>
          </w:p>
        </w:tc>
        <w:tc>
          <w:tcPr>
            <w:tcW w:w="12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0"/>
        </w:trPr>
        <w:tc>
          <w:tcPr>
            <w:tcW w:w="35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jc w:val="both"/>
        <w:ind w:left="240" w:hanging="234"/>
        <w:spacing w:after="0" w:line="230" w:lineRule="auto"/>
        <w:tabs>
          <w:tab w:leader="none" w:pos="263"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nine months ended September 30, 2026, non-cash addbacks was primarily comprised of a reversal of non-cash rent expense offset by a loss on disposal of fixed assets. During the nine months ended September 30, 2025, non-cash addbacks was primarily comprised of the write-off of the net assets of the Clinical Trials segment of $2,716, offset by non-cash rent expense of $492.</w:t>
      </w:r>
    </w:p>
    <w:p>
      <w:pPr>
        <w:spacing w:after="0" w:line="168" w:lineRule="exact"/>
        <w:rPr>
          <w:rFonts w:ascii="Times New Roman" w:cs="Times New Roman" w:eastAsia="Times New Roman" w:hAnsi="Times New Roman"/>
          <w:sz w:val="23"/>
          <w:szCs w:val="23"/>
          <w:color w:val="auto"/>
          <w:vertAlign w:val="superscript"/>
        </w:rPr>
      </w:pPr>
    </w:p>
    <w:p>
      <w:pPr>
        <w:ind w:left="240" w:hanging="234"/>
        <w:spacing w:after="0" w:line="224" w:lineRule="auto"/>
        <w:tabs>
          <w:tab w:leader="none" w:pos="25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Loss on debt extinguishment was due to the extinguishment of the Senior Secured Convertible Note along with the issuance of warrants and recognition of the Senior Term Loan.</w:t>
      </w:r>
    </w:p>
    <w:p>
      <w:pPr>
        <w:spacing w:after="0" w:line="154" w:lineRule="exact"/>
        <w:rPr>
          <w:rFonts w:ascii="Times New Roman" w:cs="Times New Roman" w:eastAsia="Times New Roman" w:hAnsi="Times New Roman"/>
          <w:sz w:val="23"/>
          <w:szCs w:val="23"/>
          <w:color w:val="auto"/>
          <w:vertAlign w:val="superscript"/>
        </w:rPr>
      </w:pPr>
    </w:p>
    <w:p>
      <w:pPr>
        <w:ind w:left="240" w:hanging="234"/>
        <w:spacing w:after="0" w:line="224" w:lineRule="auto"/>
        <w:tabs>
          <w:tab w:leader="none" w:pos="27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Consulting fees were comprised of a subset of the Company’s total consulting fees primarily related to certain non-recurring advisory projects during the nine months ended September 30, 2026 and 2025</w:t>
      </w:r>
    </w:p>
    <w:p>
      <w:pPr>
        <w:spacing w:after="0" w:line="154" w:lineRule="exact"/>
        <w:rPr>
          <w:rFonts w:ascii="Times New Roman" w:cs="Times New Roman" w:eastAsia="Times New Roman" w:hAnsi="Times New Roman"/>
          <w:sz w:val="23"/>
          <w:szCs w:val="23"/>
          <w:color w:val="auto"/>
          <w:vertAlign w:val="superscript"/>
        </w:rPr>
      </w:pPr>
    </w:p>
    <w:p>
      <w:pPr>
        <w:jc w:val="both"/>
        <w:ind w:left="240" w:hanging="234"/>
        <w:spacing w:after="0" w:line="233" w:lineRule="auto"/>
        <w:tabs>
          <w:tab w:leader="none" w:pos="385"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Infrastructure and workforce costs were primarily comprised of recruiting expenses to build out corporate infrastructure of $754 and $634, severance expenses resulting from cost rationalization programs of $421 and $229, stop-loss contract timing of approximately $0 and $1,160, and non-recurring legal costs related to infrastructure build out and settlements of $826 and $1,820, partially offset by EOM/CMS performance period non-recurring addback of $988 and $0 during the nine months ended September 30, 2026 and 2025,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911860</wp:posOffset>
            </wp:positionV>
            <wp:extent cx="716089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93"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auto"/>
        </w:rPr>
        <w:t>The ac</w:t>
      </w:r>
      <w:r>
        <w:rPr>
          <w:rFonts w:ascii="Times New Roman" w:cs="Times New Roman" w:eastAsia="Times New Roman" w:hAnsi="Times New Roman"/>
          <w:sz w:val="18"/>
          <w:szCs w:val="18"/>
          <w:color w:val="231F20"/>
        </w:rPr>
        <w:t>companying financial statements have been prepared on a going concern basis of accounting, which contemplates continuity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realization of assets and liabilities and commitments in the normal course of business. In connection with the preparation of the condensed consolidated financial statements as of September 30, 2026, the Company conducted an evaluation as to whether there were conditions and events, considered in the aggregate, which raised substantial doubt as to its ability to continue as a going concern within one year after the date of the issuance of such financial statements. The Company had cash and cash equivalents of $36,895 and an accumulated deficit of $299,448 at September 30, 2026, and a net loss of $28,029 and net cash provided by operations of $19,867 for the nine months ended September 30, 2026.</w:t>
      </w:r>
    </w:p>
    <w:p>
      <w:pPr>
        <w:spacing w:after="0" w:line="132" w:lineRule="exact"/>
        <w:rPr>
          <w:sz w:val="20"/>
          <w:szCs w:val="20"/>
          <w:color w:val="auto"/>
        </w:rPr>
      </w:pPr>
    </w:p>
    <w:p>
      <w:pPr>
        <w:jc w:val="both"/>
        <w:ind w:right="20" w:firstLine="317"/>
        <w:spacing w:after="0" w:line="254" w:lineRule="auto"/>
        <w:rPr>
          <w:sz w:val="20"/>
          <w:szCs w:val="20"/>
          <w:color w:val="auto"/>
        </w:rPr>
      </w:pPr>
      <w:r>
        <w:rPr>
          <w:rFonts w:ascii="Times New Roman" w:cs="Times New Roman" w:eastAsia="Times New Roman" w:hAnsi="Times New Roman"/>
          <w:sz w:val="18"/>
          <w:szCs w:val="18"/>
          <w:color w:val="auto"/>
        </w:rPr>
        <w:t>The Company has concluded that it will have sufficient liquidity to fund its operations for at least one year from the date these consolidated financial statements are issued.</w:t>
      </w:r>
    </w:p>
    <w:p>
      <w:pPr>
        <w:spacing w:after="0" w:line="196" w:lineRule="exact"/>
        <w:rPr>
          <w:sz w:val="20"/>
          <w:szCs w:val="20"/>
          <w:color w:val="auto"/>
        </w:rPr>
      </w:pPr>
    </w:p>
    <w:p>
      <w:pPr>
        <w:jc w:val="both"/>
        <w:ind w:firstLine="317"/>
        <w:spacing w:after="0" w:line="238" w:lineRule="auto"/>
        <w:rPr>
          <w:sz w:val="20"/>
          <w:szCs w:val="20"/>
          <w:color w:val="auto"/>
        </w:rPr>
      </w:pPr>
      <w:r>
        <w:rPr>
          <w:rFonts w:ascii="Times New Roman" w:cs="Times New Roman" w:eastAsia="Times New Roman" w:hAnsi="Times New Roman"/>
          <w:sz w:val="18"/>
          <w:szCs w:val="18"/>
          <w:color w:val="auto"/>
        </w:rPr>
        <w:t>Although the Company currently expects its sources of capital to be sufficient to meet its near-term liquidity needs, there can be no assurance that such sources will be sufficient to satisfy its liquidity requirements in the future. If the Company cannot generate or obtain needed funds, it might be forced to make substantial reductions in its operating and capital expenses or pursue restructuring plans, which could adversely affect its business operations and ability to execute its current business strategy.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following table presents a summary of the Company's consolidated cash flows from operating, investing, and financing activities for the periods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20" w:type="dxa"/>
            <w:vAlign w:val="bottom"/>
          </w:tcPr>
          <w:p>
            <w:pPr>
              <w:spacing w:after="0"/>
              <w:rPr>
                <w:sz w:val="20"/>
                <w:szCs w:val="20"/>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80" w:type="dxa"/>
            <w:vAlign w:val="bottom"/>
          </w:tcPr>
          <w:p>
            <w:pPr>
              <w:spacing w:after="0"/>
              <w:rPr>
                <w:sz w:val="20"/>
                <w:szCs w:val="20"/>
                <w:color w:val="auto"/>
              </w:rPr>
            </w:pPr>
          </w:p>
        </w:tc>
      </w:tr>
      <w:tr>
        <w:trPr>
          <w:trHeight w:val="244"/>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provided by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19,867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47,687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used in investing activities</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5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and cash equivalents provided by (used in) financing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(13,325)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7"/>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12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10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1"/>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33,565</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51"/>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36,895</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27,658</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9,237</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0"/>
        </w:trPr>
        <w:tc>
          <w:tcPr>
            <w:tcW w:w="5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Significant changes impacting net cash and cash equivalents provided by (used in) operating activities for the nine months ended September 30, 2026 as compared to the nine months ended September 30, 2025 were as follows:</w:t>
      </w:r>
    </w:p>
    <w:p>
      <w:pPr>
        <w:spacing w:after="0" w:line="128" w:lineRule="exact"/>
        <w:rPr>
          <w:sz w:val="20"/>
          <w:szCs w:val="20"/>
          <w:color w:val="auto"/>
        </w:rPr>
      </w:pPr>
    </w:p>
    <w:p>
      <w:pPr>
        <w:ind w:left="640" w:hanging="317"/>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used by inventory increased $10,913 due to our quarterly drug-buy in with our primary drug distributor for rebate incentives.</w:t>
      </w:r>
    </w:p>
    <w:p>
      <w:pPr>
        <w:spacing w:after="0" w:line="18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used by accounts receivable decreased $11,070 due to an increase in collections for the applicable dates of service as compared to the prior year.</w:t>
      </w:r>
    </w:p>
    <w:p>
      <w:pPr>
        <w:spacing w:after="0" w:line="187" w:lineRule="exact"/>
        <w:rPr>
          <w:rFonts w:ascii="Times New Roman" w:cs="Times New Roman" w:eastAsia="Times New Roman" w:hAnsi="Times New Roman"/>
          <w:sz w:val="17"/>
          <w:szCs w:val="17"/>
          <w:color w:val="auto"/>
        </w:rPr>
      </w:pPr>
    </w:p>
    <w:p>
      <w:pPr>
        <w:ind w:left="640" w:hanging="317"/>
        <w:spacing w:after="0" w:line="270"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provided by accounts payable and accrued expenses increased by $34,426 primarily due to the quarterly drug-buy in with our primarily drug distributor for rebate incentives.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93"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auto"/>
        </w:rPr>
        <w:t>Net cash used in investing activities increased $1,198 for the nine months ended September 30, 2026 as compared to the nine months ended September 30, 2025 primarily due to the increase in purchases of property and equipment of $1,072.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658495</wp:posOffset>
            </wp:positionV>
            <wp:extent cx="716089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ind w:right="220" w:firstLine="317"/>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decreased $21,148 for the nine months ended September 30, 2026 as compared to the nine months ended September 30, 2025, primarily due to proceeds from the senior secured term loan of $75,000 in the current period, partially offset by an increase in principal payments of $65,889 and the absence of prior year proceeds from the private placement and at-the-market offering of $15,359 and $9,952.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The Company's material cash requirements for the following five years consist of debt servicing requirements, operating leases and other miscellaneous administrative expenses. Additionally, the Company is subject to certain outside claims and litigation arising out of the ordinary course of business, however, no such litigation requires future cash expenditure as of September 30, 2026.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2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8"/>
                <w:szCs w:val="18"/>
                <w:b w:val="1"/>
                <w:bCs w:val="1"/>
                <w:color w:val="auto"/>
              </w:rPr>
              <w:t>Material Cash Requirements Due by the Year Ended December 31,</w:t>
            </w:r>
          </w:p>
        </w:tc>
        <w:tc>
          <w:tcPr>
            <w:tcW w:w="820" w:type="dxa"/>
            <w:vAlign w:val="bottom"/>
            <w:tcBorders>
              <w:bottom w:val="single" w:sz="8" w:color="auto"/>
            </w:tcBorders>
          </w:tcPr>
          <w:p>
            <w:pPr>
              <w:spacing w:after="0"/>
              <w:rPr>
                <w:sz w:val="20"/>
                <w:szCs w:val="20"/>
                <w:color w:val="auto"/>
              </w:rPr>
            </w:pPr>
          </w:p>
        </w:tc>
      </w:tr>
      <w:tr>
        <w:trPr>
          <w:trHeight w:val="244"/>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2027-2028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2029-2030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7"/>
              </w:rPr>
              <w:t>Total</w:t>
            </w:r>
          </w:p>
        </w:tc>
      </w:tr>
      <w:tr>
        <w:trPr>
          <w:trHeight w:val="251"/>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105,261</w:t>
            </w:r>
          </w:p>
        </w:tc>
      </w:tr>
      <w:tr>
        <w:trPr>
          <w:trHeight w:val="24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29,053</w:t>
            </w:r>
          </w:p>
        </w:tc>
      </w:tr>
      <w:tr>
        <w:trPr>
          <w:trHeight w:val="258"/>
        </w:trPr>
        <w:tc>
          <w:tcPr>
            <w:tcW w:w="4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acquisition and contingent consideration</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51"/>
        </w:trPr>
        <w:tc>
          <w:tcPr>
            <w:tcW w:w="4500" w:type="dxa"/>
            <w:vAlign w:val="bottom"/>
            <w:gridSpan w:val="2"/>
          </w:tcPr>
          <w:p>
            <w:pPr>
              <w:ind w:left="20"/>
              <w:spacing w:after="0" w:line="251"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2"/>
                <w:szCs w:val="22"/>
                <w:color w:val="auto"/>
                <w:vertAlign w:val="superscript"/>
              </w:rPr>
              <w:t>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69"/>
        </w:trPr>
        <w:tc>
          <w:tcPr>
            <w:tcW w:w="4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material cash requirements</w:t>
            </w: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134,482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 w:lineRule="exact"/>
        <w:rPr>
          <w:sz w:val="20"/>
          <w:szCs w:val="20"/>
          <w:color w:val="auto"/>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is comprised of finance leases and D&amp;O insurance premiums.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5" w:lineRule="exact"/>
        <w:rPr>
          <w:sz w:val="20"/>
          <w:szCs w:val="20"/>
          <w:color w:val="auto"/>
        </w:rPr>
      </w:pPr>
    </w:p>
    <w:p>
      <w:pPr>
        <w:jc w:val="both"/>
        <w:ind w:firstLine="317"/>
        <w:spacing w:after="0" w:line="234"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generally accepted accounting principles in the United States, or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142" w:lineRule="exact"/>
        <w:rPr>
          <w:sz w:val="20"/>
          <w:szCs w:val="20"/>
          <w:color w:val="auto"/>
        </w:rPr>
      </w:pPr>
    </w:p>
    <w:p>
      <w:pPr>
        <w:jc w:val="both"/>
        <w:ind w:firstLine="317"/>
        <w:spacing w:after="0" w:line="242"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the notes to our unaudited condensed consolidated financial statements elsewhere in this Quarterly Report on Form 10-Q. We believe that the following accounting policies reflect the most critical judgments and estimation uncertainty used in the preparation of our condensed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80" w:lineRule="exact"/>
        <w:rPr>
          <w:sz w:val="20"/>
          <w:szCs w:val="20"/>
          <w:color w:val="auto"/>
        </w:rPr>
      </w:pPr>
    </w:p>
    <w:p>
      <w:pPr>
        <w:jc w:val="both"/>
        <w:ind w:firstLine="317"/>
        <w:spacing w:after="0" w:line="263" w:lineRule="auto"/>
        <w:rPr>
          <w:sz w:val="20"/>
          <w:szCs w:val="20"/>
          <w:color w:val="auto"/>
        </w:rPr>
      </w:pPr>
      <w:r>
        <w:rPr>
          <w:rFonts w:ascii="Times New Roman" w:cs="Times New Roman" w:eastAsia="Times New Roman" w:hAnsi="Times New Roman"/>
          <w:sz w:val="17"/>
          <w:szCs w:val="17"/>
          <w:color w:val="auto"/>
        </w:rPr>
        <w:t>The Company consolidates entities for which it has a variable interest and is determined to be the primary beneficiary. The Company holds variable interests in the Starling PCs, comprised of Starling CA, Starling FL, Starling OR and Starling TX due to jurisdictional laws governing the corporate practice of medicine or other restrictions. The Starling PCs employ physicians and other clinicians in order to provide professional services to patients of our managed clinics, and under substantially similar MSAs, we serve as the exclusive manager and administrator of the Starling PCs’ non-medical functions and services. The Starling PCs are considered variable interest entities (“VIEs”) as they do not have sufficient equity to finance their activities without additional financial support from the Company. An enterprise having a controlling financial interest in a VIE must consolidate the VIE if it has both power and benefits — that is, it has (1) the power to direct the activities of a VIE that most significantly impacts the VIE’s economic performance (power), and (2) the obligation to absorb the losses of the VIE that potentially could be significant to the VIE or the right to receive benefits from the VIE that potentially could be significant to the VIE (benefits). The Company has the power to control all financial activities of the Starling PCs, the rights to receive substantially all benefits from the VIEs, and consequently consolidates the Starling PCs. Revenues, expenses, and income along with the balance sheet accounts from the Starling PCs are included in the consolidated amounts as presented on the Condensed Consolidated Statements of Operations and Condensed Consolidated Balance Sheets.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80"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 Company presents the condensed consolidated financial statements by segment in accordance with the relevant accounting literature to provide investors with transparency into how the chief operating decision maker, or “CODM” manages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625475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 xml:space="preserve">the business. The Company's CODM is our Chief Executive Officer. The CODM reviews financial information and allocates resources across three operating segments: patient services, </w:t>
      </w:r>
      <w:r>
        <w:rPr>
          <w:rFonts w:ascii="Times New Roman" w:cs="Times New Roman" w:eastAsia="Times New Roman" w:hAnsi="Times New Roman"/>
          <w:sz w:val="18"/>
          <w:szCs w:val="18"/>
          <w:color w:val="231F20"/>
        </w:rPr>
        <w:t>specialty pharmacy,</w:t>
      </w:r>
      <w:r>
        <w:rPr>
          <w:rFonts w:ascii="Times New Roman" w:cs="Times New Roman" w:eastAsia="Times New Roman" w:hAnsi="Times New Roman"/>
          <w:sz w:val="18"/>
          <w:szCs w:val="18"/>
          <w:color w:val="auto"/>
        </w:rPr>
        <w:t xml:space="preserve"> and clinical trials and other.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93" w:lineRule="exact"/>
        <w:rPr>
          <w:sz w:val="20"/>
          <w:szCs w:val="20"/>
          <w:color w:val="auto"/>
        </w:rPr>
      </w:pPr>
    </w:p>
    <w:p>
      <w:pPr>
        <w:ind w:firstLine="317"/>
        <w:spacing w:after="0" w:line="270" w:lineRule="auto"/>
        <w:rPr>
          <w:sz w:val="20"/>
          <w:szCs w:val="20"/>
          <w:color w:val="auto"/>
        </w:rPr>
      </w:pPr>
      <w:r>
        <w:rPr>
          <w:rFonts w:ascii="Times New Roman" w:cs="Times New Roman" w:eastAsia="Times New Roman" w:hAnsi="Times New Roman"/>
          <w:sz w:val="18"/>
          <w:szCs w:val="18"/>
          <w:color w:val="auto"/>
        </w:rPr>
        <w:t>The Company recognizes consolidated revenue based upon the principle of the transfer of control of our goods and services to customers in an amount that reflects the consideration to which it expects to be entitled. This principle is achieved through applying the following five-step approach:</w:t>
      </w:r>
    </w:p>
    <w:p>
      <w:pPr>
        <w:spacing w:after="0" w:line="128" w:lineRule="exact"/>
        <w:rPr>
          <w:sz w:val="20"/>
          <w:szCs w:val="20"/>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89"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75" w:lineRule="exact"/>
        <w:rPr>
          <w:rFonts w:ascii="Times New Roman" w:cs="Times New Roman" w:eastAsia="Times New Roman" w:hAnsi="Times New Roman"/>
          <w:sz w:val="18"/>
          <w:szCs w:val="18"/>
          <w:color w:val="auto"/>
        </w:rPr>
      </w:pPr>
    </w:p>
    <w:p>
      <w:pPr>
        <w:ind w:left="640" w:hanging="317"/>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entity satisfies a performance obligation.</w:t>
      </w:r>
    </w:p>
    <w:p>
      <w:pPr>
        <w:spacing w:after="0" w:line="189"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auto"/>
        </w:rPr>
        <w:t xml:space="preserve">Consolidated revenue primarily consists of capitation revenue, fee-for-service (FFS) revenue, </w:t>
      </w:r>
      <w:r>
        <w:rPr>
          <w:rFonts w:ascii="Times New Roman" w:cs="Times New Roman" w:eastAsia="Times New Roman" w:hAnsi="Times New Roman"/>
          <w:sz w:val="18"/>
          <w:szCs w:val="18"/>
          <w:color w:val="231F20"/>
        </w:rPr>
        <w:t>specialty pharmacy</w:t>
      </w:r>
      <w:r>
        <w:rPr>
          <w:rFonts w:ascii="Times New Roman" w:cs="Times New Roman" w:eastAsia="Times New Roman" w:hAnsi="Times New Roman"/>
          <w:sz w:val="18"/>
          <w:szCs w:val="18"/>
          <w:color w:val="auto"/>
        </w:rPr>
        <w:t xml:space="preserve"> revenue, and clinical trials revenue. Revenue is recognized in the period in which services are rendered or the period in which the Starling PCs are obligated to provide services. The form of billing and related risk of collection for such services may vary by type of revenue and the payor. The following paragraphs provide a summary of the principal forms of billing arrangements and how revenue is recognized for each.</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Capitation</w:t>
      </w:r>
    </w:p>
    <w:p>
      <w:pPr>
        <w:spacing w:after="0" w:line="178" w:lineRule="exact"/>
        <w:rPr>
          <w:sz w:val="20"/>
          <w:szCs w:val="20"/>
          <w:color w:val="auto"/>
        </w:rPr>
      </w:pPr>
    </w:p>
    <w:p>
      <w:pPr>
        <w:jc w:val="both"/>
        <w:ind w:firstLine="317"/>
        <w:spacing w:after="0" w:line="249" w:lineRule="auto"/>
        <w:rPr>
          <w:sz w:val="20"/>
          <w:szCs w:val="20"/>
          <w:color w:val="auto"/>
        </w:rPr>
      </w:pPr>
      <w:r>
        <w:rPr>
          <w:rFonts w:ascii="Times New Roman" w:cs="Times New Roman" w:eastAsia="Times New Roman" w:hAnsi="Times New Roman"/>
          <w:sz w:val="18"/>
          <w:szCs w:val="18"/>
          <w:color w:val="auto"/>
        </w:rPr>
        <w:t>Capitation contracts have a single performance obligation that is a stand ready obligation to perform specified healthcare services to the population of enrolled members and constitutes a series for the provision of managed healthcare services for the term of the contract, which is deemed to be one month since the mix of patient-customers can and do change month over month. The transaction price for capitation contracts is variable as it primarily includes PMPM fees associated with unspecified membership that fluctuates throughout the term of the contract. Further, we adjust the transaction price for capitation deductions based on historical experience. Revenue is recognized in the month services are rendered on the basis of the transaction price established at that time. If subsequent information resolves uncertainties related to the transaction price, adjustments will be recognized in the period they are resolved. When payment has been received but services have not yet been rendered, the payment is recognized as a contract liability.</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Fee For Service</w:t>
      </w:r>
    </w:p>
    <w:p>
      <w:pPr>
        <w:spacing w:after="0" w:line="17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FFS revenue consists of fees for medical services actually provided to patients. These medical services are distinct since the patient can benefit from the medical services on their own. Each service constitutes a single performance obligation for which the patient accepts and receives the benefit of the medical services as they are performed.</w:t>
      </w:r>
    </w:p>
    <w:p>
      <w:pPr>
        <w:spacing w:after="0" w:line="141"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auto"/>
        </w:rPr>
        <w:t>The transaction price from FFS arrangements is variable in nature because fees are based on patient encounters, credits due to patients, and reimbursement of provider costs, all of which can vary from period to period. The Company estimates the transaction price using the most likely methodology and amounts are only included in the net transaction price to the extent that it is probable that a significant reversal of cumulative revenue will not occur once any uncertainty is resolved. As a practical expedient, the Company adopted a portfolio approach to determine the transaction price for the medical services provided under FFS arrangements. Under this approach, the Company bifurcated the types of services provided and grouped health plans with similar fees and negotiated payment rates.</w:t>
      </w:r>
    </w:p>
    <w:p>
      <w:pPr>
        <w:spacing w:after="0" w:line="159"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At these levels, portfolios share the characteristics conducive to ensuring that the results do not materially differ from the standard applied to individual patient contracts related to each medical service provided.</w:t>
      </w:r>
    </w:p>
    <w:p>
      <w:pPr>
        <w:spacing w:after="0" w:line="128"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Revenue is recorded on the date the services are rendered based on the information known at the time of entering of such information into our billing systems as well as an estimate of the revenue associated with medical services. When the performance obligation is not satisfied, the billing is recognized as a contract liability.</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231F20"/>
        </w:rPr>
        <w:t>Specialty Pharmacy</w:t>
      </w:r>
    </w:p>
    <w:p>
      <w:pPr>
        <w:spacing w:after="0" w:line="178" w:lineRule="exact"/>
        <w:rPr>
          <w:sz w:val="20"/>
          <w:szCs w:val="20"/>
          <w:color w:val="auto"/>
        </w:rPr>
      </w:pPr>
    </w:p>
    <w:p>
      <w:pPr>
        <w:ind w:right="760" w:firstLine="317"/>
        <w:spacing w:after="0" w:line="254" w:lineRule="auto"/>
        <w:rPr>
          <w:sz w:val="20"/>
          <w:szCs w:val="20"/>
          <w:color w:val="auto"/>
        </w:rPr>
      </w:pPr>
      <w:r>
        <w:rPr>
          <w:rFonts w:ascii="Times New Roman" w:cs="Times New Roman" w:eastAsia="Times New Roman" w:hAnsi="Times New Roman"/>
          <w:sz w:val="18"/>
          <w:szCs w:val="18"/>
          <w:color w:val="auto"/>
        </w:rPr>
        <w:t>Dispensed prescriptions that are filled and delivered to the patient are considered a distinct performance obligation. The transaction price for the prescriptions is based on fee schedules set by PBMs and other third-party payors. The fee schedule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517525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4" w:lineRule="exact"/>
        <w:rPr>
          <w:sz w:val="20"/>
          <w:szCs w:val="20"/>
          <w:color w:val="auto"/>
        </w:rPr>
      </w:pPr>
    </w:p>
    <w:p>
      <w:pPr>
        <w:jc w:val="both"/>
        <w:ind w:right="200"/>
        <w:spacing w:after="0" w:line="242" w:lineRule="auto"/>
        <w:rPr>
          <w:sz w:val="20"/>
          <w:szCs w:val="20"/>
          <w:color w:val="auto"/>
        </w:rPr>
      </w:pPr>
      <w:r>
        <w:rPr>
          <w:rFonts w:ascii="Times New Roman" w:cs="Times New Roman" w:eastAsia="Times New Roman" w:hAnsi="Times New Roman"/>
          <w:sz w:val="18"/>
          <w:szCs w:val="18"/>
          <w:color w:val="auto"/>
        </w:rPr>
        <w:t>often subject to direct and indirect remuneration fees applied by PBMs ("DIR fees"), which are based primarily on pre-established metrics. DIR fees may be assessed in periods after payments are received against future payments. The Company estimates DIR fees to arrive at the transaction price for prescriptions. Revenue is recognized based on the transaction price at the time the patient takes possession of the oral drug.</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Clinical Research &amp; Other</w:t>
      </w:r>
    </w:p>
    <w:p>
      <w:pPr>
        <w:spacing w:after="0" w:line="165" w:lineRule="exact"/>
        <w:rPr>
          <w:sz w:val="20"/>
          <w:szCs w:val="20"/>
          <w:color w:val="auto"/>
        </w:rPr>
      </w:pPr>
    </w:p>
    <w:p>
      <w:pPr>
        <w:jc w:val="both"/>
        <w:ind w:firstLine="317"/>
        <w:spacing w:after="0" w:line="235" w:lineRule="auto"/>
        <w:rPr>
          <w:sz w:val="20"/>
          <w:szCs w:val="20"/>
          <w:color w:val="auto"/>
        </w:rPr>
      </w:pPr>
      <w:r>
        <w:rPr>
          <w:rFonts w:ascii="Times New Roman" w:cs="Times New Roman" w:eastAsia="Times New Roman" w:hAnsi="Times New Roman"/>
          <w:sz w:val="18"/>
          <w:szCs w:val="18"/>
          <w:color w:val="auto"/>
        </w:rPr>
        <w:t>Clinical research contracts represent a single, integrated set of research activities and thus are a single performance obligation. The performance obligation is satisfied over time as the output is captured in data and documentation that is available for the customer to consume over the course of arrangement and furthers progress of the clinical trial. The Company has elected to recognize revenue for clinical trials using the ‘as-invoiced’ practical expedient. The customer is invoiced periodically based on the progress of the trial such that each invoice captures the revenue earned to date based on the state of the trial as established under contract with the customer. Effective May 2025, the Clinical Trials segment is operated by a third party in its entirety under a profit sharing arrangement with the Company.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tax assets and liabilities are determined based on temporary differences between the financial carrying amounts and the tax basis of assets and liabilities using enacted tax rates in effect in the years in which the temporary differences are expected to reverse.</w:t>
      </w:r>
    </w:p>
    <w:p>
      <w:pPr>
        <w:spacing w:after="0" w:line="2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valuation allowance is required when there is significant uncertainty as to whether certain deferred tax assets can be realized. The ability to realize deferred tax assets is dependent upon our ability to generate sufficient taxable income within the carryforward periods provided for in the tax law for each tax jurisdiction. We have considered the following possible sources of taxable income when assessing the realization of our deferred tax assets:</w:t>
      </w:r>
    </w:p>
    <w:p>
      <w:pPr>
        <w:spacing w:after="0" w:line="193" w:lineRule="exact"/>
        <w:rPr>
          <w:sz w:val="20"/>
          <w:szCs w:val="20"/>
          <w:color w:val="auto"/>
        </w:rPr>
      </w:pP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 w:lineRule="exact"/>
        <w:rPr>
          <w:rFonts w:ascii="Times New Roman" w:cs="Times New Roman" w:eastAsia="Times New Roman" w:hAnsi="Times New Roman"/>
          <w:sz w:val="18"/>
          <w:szCs w:val="18"/>
          <w:color w:val="auto"/>
        </w:rPr>
      </w:pPr>
    </w:p>
    <w:p>
      <w:pPr>
        <w:ind w:left="640" w:hanging="317"/>
        <w:spacing w:after="0" w:line="21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or loss, exclusive of reversing temporary differences and carryforwards;</w:t>
      </w:r>
    </w:p>
    <w:p>
      <w:pPr>
        <w:ind w:left="640" w:hanging="317"/>
        <w:spacing w:after="0" w:line="214"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 and</w:t>
      </w:r>
    </w:p>
    <w:p>
      <w:pPr>
        <w:ind w:left="640" w:hanging="317"/>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continue to reevaluate the continued need for a valuation allowance. Relevant factors include:</w:t>
      </w:r>
    </w:p>
    <w:p>
      <w:pPr>
        <w:spacing w:after="0" w:line="216" w:lineRule="exact"/>
        <w:rPr>
          <w:sz w:val="20"/>
          <w:szCs w:val="20"/>
          <w:color w:val="auto"/>
        </w:rPr>
      </w:pP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financial performance;</w:t>
      </w:r>
    </w:p>
    <w:p>
      <w:pPr>
        <w:spacing w:after="0" w:line="11" w:lineRule="exact"/>
        <w:rPr>
          <w:rFonts w:ascii="Times New Roman" w:cs="Times New Roman" w:eastAsia="Times New Roman" w:hAnsi="Times New Roman"/>
          <w:sz w:val="18"/>
          <w:szCs w:val="18"/>
          <w:color w:val="auto"/>
        </w:rPr>
      </w:pPr>
    </w:p>
    <w:p>
      <w:pPr>
        <w:ind w:left="640" w:hanging="317"/>
        <w:spacing w:after="0" w:line="21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short-term and long-term financial and taxable income projections;</w:t>
      </w:r>
    </w:p>
    <w:p>
      <w:pPr>
        <w:ind w:left="640" w:hanging="317"/>
        <w:spacing w:after="0" w:line="214"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market environment; and</w:t>
      </w:r>
    </w:p>
    <w:p>
      <w:pPr>
        <w:ind w:left="640" w:hanging="317"/>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trends in the industry in which we operate.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31F20"/>
        </w:rPr>
        <w:t xml:space="preserve">The Company accounts for goodwill and intangible assets under Accounting Standards Codification Topic No. 350, </w:t>
      </w:r>
      <w:r>
        <w:rPr>
          <w:rFonts w:ascii="Times New Roman" w:cs="Times New Roman" w:eastAsia="Times New Roman" w:hAnsi="Times New Roman"/>
          <w:sz w:val="18"/>
          <w:szCs w:val="18"/>
          <w:i w:val="1"/>
          <w:iCs w:val="1"/>
          <w:color w:val="231F20"/>
        </w:rPr>
        <w:t>Goodwill and Other</w:t>
      </w:r>
      <w:r>
        <w:rPr>
          <w:rFonts w:ascii="Times New Roman" w:cs="Times New Roman" w:eastAsia="Times New Roman" w:hAnsi="Times New Roman"/>
          <w:sz w:val="18"/>
          <w:szCs w:val="18"/>
          <w:color w:val="231F20"/>
        </w:rPr>
        <w:t xml:space="preserve"> (“ASC 350”).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represents the excess of the fair value of the consideration conveyed in acquisition over the fair value of net assets acquired.</w:t>
      </w:r>
    </w:p>
    <w:p>
      <w:pPr>
        <w:spacing w:after="0" w:line="145"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Goodwill is not amortized but is required to be evaluated for impairment at the same time every year. The Company performs annual testing of impairment for goodwill in the fourth quarter of each year or earlier if potential impairment indicators exist.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146" w:lineRule="exact"/>
        <w:rPr>
          <w:sz w:val="20"/>
          <w:szCs w:val="20"/>
          <w:color w:val="auto"/>
        </w:rPr>
      </w:pPr>
    </w:p>
    <w:p>
      <w:pPr>
        <w:jc w:val="both"/>
        <w:ind w:firstLine="317"/>
        <w:spacing w:after="0" w:line="250" w:lineRule="auto"/>
        <w:rPr>
          <w:sz w:val="20"/>
          <w:szCs w:val="20"/>
          <w:color w:val="auto"/>
        </w:rPr>
      </w:pPr>
      <w:r>
        <w:rPr>
          <w:rFonts w:ascii="Times New Roman" w:cs="Times New Roman" w:eastAsia="Times New Roman" w:hAnsi="Times New Roman"/>
          <w:sz w:val="18"/>
          <w:szCs w:val="18"/>
          <w:color w:val="auto"/>
        </w:rPr>
        <w:t>Finite-lived intangible assets are stated at acquisition-date fair value. Intangible assets are amortized using the straight-line method. Finite-lived intangible assets are reviewed for impairment whenever events or changes in circumstances indicate that the carrying amount of an asset may not be recoverable. When circumstances indicate that recoverability may be impaired, the Company assesses its ability to recover the carrying value of the asset group from the expected future pre-tax cash flows (undiscounted and without interest charges) of the related operations. If these cash flows are less than the carrying value of such asset, an impairment loss is recognized for the difference between estimated fair value and carrying value. Fair value is determined based on appropriate valuation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644525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8" w:lineRule="exact"/>
        <w:rPr>
          <w:sz w:val="20"/>
          <w:szCs w:val="20"/>
          <w:color w:val="auto"/>
        </w:rPr>
      </w:pPr>
    </w:p>
    <w:p>
      <w:pPr>
        <w:jc w:val="both"/>
        <w:ind w:firstLine="317"/>
        <w:spacing w:after="0" w:line="300"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Our market risk exposure is primarily a result of exposure due to potential changes in inflation or interest rates. We do not hold financial instruments for trading purposes.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0" w:lineRule="exact"/>
        <w:rPr>
          <w:sz w:val="20"/>
          <w:szCs w:val="20"/>
          <w:color w:val="auto"/>
        </w:rPr>
      </w:pPr>
    </w:p>
    <w:p>
      <w:pPr>
        <w:jc w:val="both"/>
        <w:ind w:firstLine="317"/>
        <w:spacing w:after="0" w:line="257" w:lineRule="auto"/>
        <w:rPr>
          <w:sz w:val="20"/>
          <w:szCs w:val="20"/>
          <w:color w:val="auto"/>
        </w:rPr>
      </w:pPr>
      <w:r>
        <w:rPr>
          <w:rFonts w:ascii="Times New Roman" w:cs="Times New Roman" w:eastAsia="Times New Roman" w:hAnsi="Times New Roman"/>
          <w:sz w:val="18"/>
          <w:szCs w:val="18"/>
          <w:color w:val="auto"/>
        </w:rPr>
        <w:t>We held cash and cash equivalents of $36,895 as of September 30, 2026, consisting of bank deposits and money market funds. Such interest-earning instruments carry a degree of interest rate risk. The goals of our investment policy are liquidity and capital preservation. We believe that we do not have any material exposure to changes in the fair value of these assets as a result of changes in interest rates due to the short-term nature of our cash.</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93"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Inflation can adversely affect us by increasing the costs of drugs, clinical trials and research, administration and other costs of doing business. We may experience increases in the prices of labor and other costs of doing business. In an inflationary environment, cost increases may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Risk</w:t>
      </w:r>
    </w:p>
    <w:p>
      <w:pPr>
        <w:spacing w:after="0" w:line="180"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Impairment risk refers to the risk that the Company will write down a material amount of its goodwill or intangible assets. This risk is assessed at least annually in the fourth quarter each year when the Company performs its impairment testing. To the extent that, among other factors, (i) there is underperformance in one or more reporting units (ii) a potential recession further disrupts the economic environment or (iii) interest rates continue to rise in response to persistent inflation, the fair value of one or more of the reporting units could fall below their carrying value, resulting in a goodwill or intangible impairment charge.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Evaluation of Disclosure Controls and Procedures</w:t>
      </w:r>
    </w:p>
    <w:p>
      <w:pPr>
        <w:spacing w:after="0" w:line="178" w:lineRule="exact"/>
        <w:rPr>
          <w:sz w:val="20"/>
          <w:szCs w:val="20"/>
          <w:color w:val="auto"/>
        </w:rPr>
      </w:pPr>
    </w:p>
    <w:p>
      <w:pPr>
        <w:jc w:val="both"/>
        <w:ind w:firstLine="317"/>
        <w:spacing w:after="0" w:line="263" w:lineRule="auto"/>
        <w:rPr>
          <w:sz w:val="20"/>
          <w:szCs w:val="20"/>
          <w:color w:val="auto"/>
        </w:rPr>
      </w:pPr>
      <w:r>
        <w:rPr>
          <w:rFonts w:ascii="Times New Roman" w:cs="Times New Roman" w:eastAsia="Times New Roman" w:hAnsi="Times New Roman"/>
          <w:sz w:val="17"/>
          <w:szCs w:val="17"/>
          <w:color w:val="231F20"/>
        </w:rPr>
        <w:t xml:space="preserve">Our disclosure controls and procedures are designed to ensure that the information relating to our Company, including our consolidated subsidiaries, that are required to be disclosed in our SEC reports, is recorded, processed, summarized, and reported within the time periods specified in SEC rules and forms, and is accumulated and communicated to our management, including our Chief Executive Officer and Chief Financial Officer, as appropriate to allow for timely decisions regarding required disclosure. We conducted an evaluation, under the supervision and with the participation of management, including our Chief Executive Officer and Chief Financial Officer, of the effectiveness of the design and operation of our disclosure controls and procedures (as defined in Rules 13a-15(e) and 15d-15(e) under </w:t>
      </w:r>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231F20"/>
        </w:rPr>
        <w:t xml:space="preserve"> Securities Exchange Act of 1934, as amended) as of </w:t>
      </w:r>
      <w:r>
        <w:rPr>
          <w:rFonts w:ascii="Times New Roman" w:cs="Times New Roman" w:eastAsia="Times New Roman" w:hAnsi="Times New Roman"/>
          <w:sz w:val="17"/>
          <w:szCs w:val="17"/>
          <w:color w:val="000000"/>
        </w:rPr>
        <w:t>September 30, 2026</w:t>
      </w:r>
      <w:r>
        <w:rPr>
          <w:rFonts w:ascii="Times New Roman" w:cs="Times New Roman" w:eastAsia="Times New Roman" w:hAnsi="Times New Roman"/>
          <w:sz w:val="17"/>
          <w:szCs w:val="17"/>
          <w:color w:val="231F20"/>
        </w:rPr>
        <w:t xml:space="preserve">. Based on this evaluation, our Chief Executive Officer and Chief Financial Officer concluded that, as of </w:t>
      </w:r>
      <w:r>
        <w:rPr>
          <w:rFonts w:ascii="Times New Roman" w:cs="Times New Roman" w:eastAsia="Times New Roman" w:hAnsi="Times New Roman"/>
          <w:sz w:val="17"/>
          <w:szCs w:val="17"/>
          <w:color w:val="000000"/>
        </w:rPr>
        <w:t>September 30, 2026</w:t>
      </w:r>
      <w:r>
        <w:rPr>
          <w:rFonts w:ascii="Times New Roman" w:cs="Times New Roman" w:eastAsia="Times New Roman" w:hAnsi="Times New Roman"/>
          <w:sz w:val="17"/>
          <w:szCs w:val="17"/>
          <w:color w:val="231F20"/>
        </w:rPr>
        <w:t>, our disclosure controls and procedures were effective at the reasonable assurance level. Management, including our Chief Executive Officer and Chief Financial Officer, who serve as our principal executive officer and principal financial officer, respectively, believe the condensed consolidated financial statements included in this Quarterly Report on Form 10-Q fairly represent, in all material respects, our financial condition, results of operations and cash flows as of and for the periods presented in accordance with GAAP.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8" w:lineRule="exact"/>
        <w:rPr>
          <w:sz w:val="20"/>
          <w:szCs w:val="20"/>
          <w:color w:val="auto"/>
        </w:rPr>
      </w:pPr>
    </w:p>
    <w:p>
      <w:pPr>
        <w:jc w:val="both"/>
        <w:ind w:firstLine="317"/>
        <w:spacing w:after="0" w:line="270"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September 30, 2026 that have materially affected, or are reasonably likely to materially affect, the Company’s internal control over financial reporting.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Disclosure Controls and Procedures</w:t>
      </w:r>
    </w:p>
    <w:p>
      <w:pPr>
        <w:spacing w:after="0" w:line="191" w:lineRule="exact"/>
        <w:rPr>
          <w:sz w:val="20"/>
          <w:szCs w:val="20"/>
          <w:color w:val="auto"/>
        </w:rPr>
      </w:pPr>
    </w:p>
    <w:p>
      <w:pPr>
        <w:jc w:val="both"/>
        <w:ind w:firstLine="317"/>
        <w:spacing w:after="0" w:line="25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including the Chief Executive Officer and Chief Financial Officer, recognizes that any controls and procedures, no matter how well designed and operated, can provide only reasonable assurance of achieving the desired control objectives.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636270</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633095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8" w:lineRule="exact"/>
        <w:rPr>
          <w:sz w:val="20"/>
          <w:szCs w:val="20"/>
          <w:color w:val="auto"/>
        </w:rPr>
      </w:pPr>
    </w:p>
    <w:p>
      <w:pPr>
        <w:jc w:val="both"/>
        <w:ind w:firstLine="317"/>
        <w:spacing w:after="0" w:line="253" w:lineRule="auto"/>
        <w:rPr>
          <w:sz w:val="20"/>
          <w:szCs w:val="20"/>
          <w:color w:val="auto"/>
        </w:rPr>
      </w:pPr>
      <w:r>
        <w:rPr>
          <w:rFonts w:ascii="Times New Roman" w:cs="Times New Roman" w:eastAsia="Times New Roman" w:hAnsi="Times New Roman"/>
          <w:sz w:val="18"/>
          <w:szCs w:val="18"/>
          <w:color w:val="231F20"/>
        </w:rPr>
        <w:t>From time to time, we may be involved in various legal proceedings and subject to claims that arise in the ordinary course of business. Although the results of litigation and claims are inherently unpredictable and uncertain, we are not currently a party to any legal proceedings the outcome of which we believe that, if determined adversely to us, either individually or taken together, are reasonably likely to have a material adverse effect on our business, operating results, cash flows or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8" w:lineRule="exact"/>
        <w:rPr>
          <w:sz w:val="20"/>
          <w:szCs w:val="20"/>
          <w:color w:val="auto"/>
        </w:rPr>
      </w:pPr>
    </w:p>
    <w:p>
      <w:pPr>
        <w:ind w:right="140" w:firstLine="351"/>
        <w:spacing w:after="0" w:line="253"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described in Item 1A of our Annual Report on Form 10-K for the fiscal year ended December 31, 2025. These risk factors describe some of the assumptions, risks, uncertainties and other factors that could adversely affect our business or that could otherwise result in changes that differ materially from our expectations. We may disclose changes to such risk factors or disclose additional risk factors from time to time in our future filings with the SEC.</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8" w:lineRule="exact"/>
        <w:rPr>
          <w:sz w:val="20"/>
          <w:szCs w:val="20"/>
          <w:color w:val="auto"/>
        </w:rPr>
      </w:pPr>
    </w:p>
    <w:p>
      <w:pPr>
        <w:ind w:right="80" w:firstLine="351"/>
        <w:spacing w:after="0" w:line="236" w:lineRule="auto"/>
        <w:rPr>
          <w:sz w:val="20"/>
          <w:szCs w:val="20"/>
          <w:color w:val="auto"/>
        </w:rPr>
      </w:pPr>
      <w:r>
        <w:rPr>
          <w:rFonts w:ascii="Times New Roman" w:cs="Times New Roman" w:eastAsia="Times New Roman" w:hAnsi="Times New Roman"/>
          <w:sz w:val="18"/>
          <w:szCs w:val="18"/>
          <w:color w:val="auto"/>
        </w:rPr>
        <w:t>During the three months ended September 30, 2026, the following directors and officers of the Company adopted trading plans for the sales of shares of our common stock, as indicated below. Each trading plan is intended to satisfy the affirmative defense of Rule 10b5-1(c) under the Securities Exchange Act of 1934, as amended (the “Exchange Act”).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Aggregate Number of Shares of Common</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Expiration Date of Rule 10b5-1</w:t>
            </w:r>
          </w:p>
        </w:tc>
      </w:tr>
      <w:tr>
        <w:trPr>
          <w:trHeight w:val="231"/>
        </w:trPr>
        <w:tc>
          <w:tcPr>
            <w:tcW w:w="2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Trading Plan</w:t>
            </w:r>
          </w:p>
        </w:tc>
      </w:tr>
      <w:tr>
        <w:trPr>
          <w:trHeight w:val="27"/>
        </w:trPr>
        <w:tc>
          <w:tcPr>
            <w:tcW w:w="2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r>
      <w:tr>
        <w:trPr>
          <w:trHeight w:val="402"/>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Johnson, Director</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10, 2026</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33,600</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December 31, 2027</w:t>
            </w:r>
          </w:p>
        </w:tc>
      </w:tr>
      <w:tr>
        <w:trPr>
          <w:trHeight w:val="251"/>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Pacala, Director</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18, 2026</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148,000</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1, 2027</w:t>
            </w:r>
          </w:p>
        </w:tc>
      </w:tr>
      <w:tr>
        <w:trPr>
          <w:trHeight w:val="22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Virnich, Chief</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August 12, 2026</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350,000</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September 1, 2027</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c>
          <w:tcPr>
            <w:tcW w:w="1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20"/>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Robert Carter, Chief Financial</w:t>
            </w:r>
          </w:p>
        </w:tc>
        <w:tc>
          <w:tcPr>
            <w:tcW w:w="1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14, 2026</w:t>
            </w:r>
          </w:p>
        </w:tc>
        <w:tc>
          <w:tcPr>
            <w:tcW w:w="3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108,455</w:t>
            </w:r>
          </w:p>
        </w:tc>
        <w:tc>
          <w:tcPr>
            <w:tcW w:w="2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October 1, 2027</w:t>
            </w:r>
          </w:p>
        </w:tc>
      </w:tr>
      <w:tr>
        <w:trPr>
          <w:trHeight w:val="22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158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520" w:type="dxa"/>
            <w:vAlign w:val="bottom"/>
          </w:tcPr>
          <w:p>
            <w:pPr>
              <w:spacing w:after="0"/>
              <w:rPr>
                <w:sz w:val="19"/>
                <w:szCs w:val="19"/>
                <w:color w:val="auto"/>
              </w:rPr>
            </w:pPr>
          </w:p>
        </w:tc>
      </w:tr>
    </w:tbl>
    <w:p>
      <w:pPr>
        <w:spacing w:after="0" w:line="365"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 our Quarterly Report on Form 10-Q for the quarter ended June 30, 2026, we inadvertently omitted disclosure about our director, Bradley Hively, adopting a Rule 10b5-1 Plan on May 22, 2026, with an expiration date of December 31, 2027, providing for the sale of up to an aggregate amount of 298,853 shares of common stock. This trading plan is intended to satisfy the affirmative defense of Rule 10b5-1(c)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532130</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4600" w:type="dxa"/>
            <w:vAlign w:val="bottom"/>
            <w:gridSpan w:val="29"/>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85"/>
        </w:trPr>
        <w:tc>
          <w:tcPr>
            <w:tcW w:w="5860" w:type="dxa"/>
            <w:vAlign w:val="bottom"/>
            <w:gridSpan w:val="3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Incorporated by Reference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800" w:type="dxa"/>
            <w:vAlign w:val="bottom"/>
            <w:vMerge w:val="restart"/>
          </w:tcPr>
          <w:p>
            <w:pPr>
              <w:spacing w:after="0"/>
              <w:rPr>
                <w:sz w:val="11"/>
                <w:szCs w:val="11"/>
                <w:color w:val="auto"/>
              </w:rPr>
            </w:pPr>
          </w:p>
        </w:tc>
        <w:tc>
          <w:tcPr>
            <w:tcW w:w="500" w:type="dxa"/>
            <w:vAlign w:val="bottom"/>
            <w:vMerge w:val="restart"/>
          </w:tcPr>
          <w:p>
            <w:pPr>
              <w:spacing w:after="0"/>
              <w:rPr>
                <w:sz w:val="11"/>
                <w:szCs w:val="11"/>
                <w:color w:val="auto"/>
              </w:rPr>
            </w:pPr>
          </w:p>
        </w:tc>
        <w:tc>
          <w:tcPr>
            <w:tcW w:w="260" w:type="dxa"/>
            <w:vAlign w:val="bottom"/>
            <w:vMerge w:val="restart"/>
          </w:tcPr>
          <w:p>
            <w:pPr>
              <w:spacing w:after="0"/>
              <w:rPr>
                <w:sz w:val="11"/>
                <w:szCs w:val="11"/>
                <w:color w:val="auto"/>
              </w:rPr>
            </w:pPr>
          </w:p>
        </w:tc>
        <w:tc>
          <w:tcPr>
            <w:tcW w:w="29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00" w:type="dxa"/>
            <w:vAlign w:val="bottom"/>
            <w:tcBorders>
              <w:bottom w:val="single" w:sz="8" w:color="auto"/>
            </w:tcBorders>
            <w:gridSpan w:val="2"/>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900" w:type="dxa"/>
            <w:vAlign w:val="bottom"/>
            <w:gridSpan w:val="24"/>
            <w:vMerge w:val="continue"/>
          </w:tcPr>
          <w:p>
            <w:pPr>
              <w:spacing w:after="0"/>
              <w:rPr>
                <w:sz w:val="15"/>
                <w:szCs w:val="15"/>
                <w:color w:val="auto"/>
              </w:rPr>
            </w:pPr>
          </w:p>
        </w:tc>
        <w:tc>
          <w:tcPr>
            <w:tcW w:w="800" w:type="dxa"/>
            <w:vAlign w:val="bottom"/>
            <w:gridSpan w:val="2"/>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7"/>
              </w:rPr>
              <w:t>Form</w:t>
            </w:r>
          </w:p>
        </w:tc>
        <w:tc>
          <w:tcPr>
            <w:tcW w:w="11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File Number</w:t>
            </w:r>
          </w:p>
        </w:tc>
        <w:tc>
          <w:tcPr>
            <w:tcW w:w="1100" w:type="dxa"/>
            <w:vAlign w:val="bottom"/>
            <w:gridSpan w:val="2"/>
          </w:tcPr>
          <w:p>
            <w:pPr>
              <w:ind w:left="260"/>
              <w:spacing w:after="0" w:line="17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Filing Date</w:t>
            </w:r>
          </w:p>
        </w:tc>
        <w:tc>
          <w:tcPr>
            <w:tcW w:w="0" w:type="dxa"/>
            <w:vAlign w:val="bottom"/>
          </w:tcPr>
          <w:p>
            <w:pPr>
              <w:spacing w:after="0"/>
              <w:rPr>
                <w:sz w:val="1"/>
                <w:szCs w:val="1"/>
                <w:color w:val="auto"/>
              </w:rPr>
            </w:pPr>
          </w:p>
        </w:tc>
      </w:tr>
      <w:tr>
        <w:trPr>
          <w:trHeight w:val="132"/>
        </w:trPr>
        <w:tc>
          <w:tcPr>
            <w:tcW w:w="1000" w:type="dxa"/>
            <w:vAlign w:val="bottom"/>
          </w:tcPr>
          <w:p>
            <w:pPr>
              <w:ind w:left="140"/>
              <w:spacing w:after="0" w:line="132" w:lineRule="exact"/>
              <w:rPr>
                <w:sz w:val="20"/>
                <w:szCs w:val="20"/>
                <w:color w:val="auto"/>
              </w:rPr>
            </w:pPr>
            <w:r>
              <w:rPr>
                <w:rFonts w:ascii="Times New Roman" w:cs="Times New Roman" w:eastAsia="Times New Roman" w:hAnsi="Times New Roman"/>
                <w:sz w:val="15"/>
                <w:szCs w:val="15"/>
                <w:b w:val="1"/>
                <w:bCs w:val="1"/>
                <w:color w:val="auto"/>
              </w:rPr>
              <w:t>Number</w:t>
            </w: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0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5"/>
                <w:szCs w:val="15"/>
                <w:color w:val="auto"/>
              </w:rPr>
            </w:pPr>
          </w:p>
        </w:tc>
        <w:tc>
          <w:tcPr>
            <w:tcW w:w="4740" w:type="dxa"/>
            <w:vAlign w:val="bottom"/>
            <w:gridSpan w:val="29"/>
          </w:tcPr>
          <w:p>
            <w:pPr>
              <w:spacing w:after="0" w:line="178"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Amended and Restated Certificate of Incorporation of The</w:t>
              </w:r>
            </w:hyperlink>
          </w:p>
        </w:tc>
        <w:tc>
          <w:tcPr>
            <w:tcW w:w="100" w:type="dxa"/>
            <w:vAlign w:val="bottom"/>
          </w:tcPr>
          <w:p>
            <w:pPr>
              <w:spacing w:after="0"/>
              <w:rPr>
                <w:sz w:val="15"/>
                <w:szCs w:val="15"/>
                <w:color w:val="auto"/>
              </w:rPr>
            </w:pPr>
          </w:p>
        </w:tc>
        <w:tc>
          <w:tcPr>
            <w:tcW w:w="70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2"/>
              </w:rPr>
              <w:t>8-K</w:t>
            </w:r>
          </w:p>
        </w:tc>
        <w:tc>
          <w:tcPr>
            <w:tcW w:w="100" w:type="dxa"/>
            <w:vAlign w:val="bottom"/>
          </w:tcPr>
          <w:p>
            <w:pPr>
              <w:spacing w:after="0"/>
              <w:rPr>
                <w:sz w:val="15"/>
                <w:szCs w:val="15"/>
                <w:color w:val="auto"/>
              </w:rPr>
            </w:pPr>
          </w:p>
        </w:tc>
        <w:tc>
          <w:tcPr>
            <w:tcW w:w="118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15"/>
                <w:szCs w:val="15"/>
                <w:color w:val="auto"/>
              </w:rPr>
            </w:pPr>
          </w:p>
        </w:tc>
        <w:tc>
          <w:tcPr>
            <w:tcW w:w="106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color w:val="auto"/>
                <w:w w:val="99"/>
              </w:rPr>
              <w:t>November 18,</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80" w:type="dxa"/>
            <w:vAlign w:val="bottom"/>
            <w:tcBorders>
              <w:top w:val="single" w:sz="8" w:color="0000FF"/>
              <w:bottom w:val="single" w:sz="8" w:color="0000FF"/>
            </w:tcBorders>
            <w:gridSpan w:val="5"/>
          </w:tcPr>
          <w:p>
            <w:pPr>
              <w:spacing w:after="0" w:line="152"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Oncology Institute, Inc.</w:t>
              </w:r>
            </w:hyperlink>
          </w:p>
        </w:tc>
        <w:tc>
          <w:tcPr>
            <w:tcW w:w="24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4840" w:type="dxa"/>
            <w:vAlign w:val="bottom"/>
            <w:gridSpan w:val="30"/>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Certificate of Amendment to the Amended and Restated</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August 3,</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Certificate of Incorporation</w:t>
              </w:r>
            </w:hyperlink>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4840" w:type="dxa"/>
            <w:vAlign w:val="bottom"/>
            <w:gridSpan w:val="30"/>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Amended and Restated Bylaws of The Oncology Institute, Inc.</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18,</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6"/>
                <w:szCs w:val="16"/>
                <w:color w:val="auto"/>
              </w:rPr>
            </w:pPr>
          </w:p>
        </w:tc>
        <w:tc>
          <w:tcPr>
            <w:tcW w:w="4840" w:type="dxa"/>
            <w:vAlign w:val="bottom"/>
            <w:gridSpan w:val="30"/>
          </w:tcPr>
          <w:p>
            <w:pPr>
              <w:spacing w:after="0" w:line="190"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Certificate of Designation of Series A Common Stock Equivalent</w:t>
              </w:r>
            </w:hyperlink>
          </w:p>
        </w:tc>
        <w:tc>
          <w:tcPr>
            <w:tcW w:w="80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9"/>
              </w:rPr>
              <w:t>8-K/A</w:t>
            </w:r>
          </w:p>
        </w:tc>
        <w:tc>
          <w:tcPr>
            <w:tcW w:w="11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3.3</w:t>
            </w:r>
          </w:p>
        </w:tc>
        <w:tc>
          <w:tcPr>
            <w:tcW w:w="4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November 22,</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20" w:type="dxa"/>
            <w:vAlign w:val="bottom"/>
            <w:tcBorders>
              <w:top w:val="single" w:sz="8" w:color="0000FF"/>
            </w:tcBorders>
            <w:gridSpan w:val="26"/>
          </w:tcPr>
          <w:p>
            <w:pPr>
              <w:spacing w:after="0" w:line="152"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Convertible Preferred Stock</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4840" w:type="dxa"/>
            <w:vAlign w:val="bottom"/>
            <w:gridSpan w:val="30"/>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Certificate of Correction to Certificate of Designation of</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March 25,</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14"/>
          </w:tcPr>
          <w:p>
            <w:pPr>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Preferences, Rights and Limitations of Series A Common</w:t>
              </w:r>
            </w:hyperlink>
          </w:p>
        </w:tc>
        <w:tc>
          <w:tcPr>
            <w:tcW w:w="860" w:type="dxa"/>
            <w:vAlign w:val="bottom"/>
            <w:gridSpan w:val="16"/>
          </w:tcPr>
          <w:p>
            <w:pPr>
              <w:ind w:left="120"/>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Stock</w:t>
              </w:r>
            </w:hyperlink>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0000FF"/>
            </w:tcBorders>
            <w:gridSpan w:val="21"/>
          </w:tcPr>
          <w:p>
            <w:pPr>
              <w:spacing w:after="0" w:line="165" w:lineRule="exact"/>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Equivalent Convertible Preferred Stock</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7"/>
                <w:szCs w:val="17"/>
                <w:color w:val="auto"/>
              </w:rPr>
            </w:pPr>
          </w:p>
        </w:tc>
        <w:tc>
          <w:tcPr>
            <w:tcW w:w="4840" w:type="dxa"/>
            <w:vAlign w:val="bottom"/>
            <w:gridSpan w:val="30"/>
          </w:tcPr>
          <w:p>
            <w:pPr>
              <w:spacing w:after="0" w:line="205"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Amendment to Certificate of Designation of Preferences, Rights</w:t>
              </w:r>
            </w:hyperlink>
          </w:p>
        </w:tc>
        <w:tc>
          <w:tcPr>
            <w:tcW w:w="80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3.2</w:t>
            </w:r>
          </w:p>
        </w:tc>
        <w:tc>
          <w:tcPr>
            <w:tcW w:w="40" w:type="dxa"/>
            <w:vAlign w:val="bottom"/>
          </w:tcPr>
          <w:p>
            <w:pPr>
              <w:spacing w:after="0"/>
              <w:rPr>
                <w:sz w:val="17"/>
                <w:szCs w:val="17"/>
                <w:color w:val="auto"/>
              </w:rPr>
            </w:pPr>
          </w:p>
        </w:tc>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March 25,</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tcBorders>
              <w:top w:val="single" w:sz="8" w:color="0000FF"/>
            </w:tcBorders>
            <w:gridSpan w:val="22"/>
          </w:tcPr>
          <w:p>
            <w:pPr>
              <w:spacing w:after="0" w:line="152" w:lineRule="exact"/>
              <w:rPr>
                <w:rFonts w:ascii="Times New Roman" w:cs="Times New Roman" w:eastAsia="Times New Roman" w:hAnsi="Times New Roman"/>
                <w:sz w:val="17"/>
                <w:szCs w:val="17"/>
                <w:color w:val="0000FF"/>
              </w:rPr>
            </w:pPr>
            <w:hyperlink r:id="rId86">
              <w:r>
                <w:rPr>
                  <w:rFonts w:ascii="Times New Roman" w:cs="Times New Roman" w:eastAsia="Times New Roman" w:hAnsi="Times New Roman"/>
                  <w:sz w:val="17"/>
                  <w:szCs w:val="17"/>
                  <w:color w:val="0000FF"/>
                </w:rPr>
                <w:t>and Limitations of Series A Common Stock Equivalent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2025</w:t>
            </w: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tcBorders>
            <w:gridSpan w:val="12"/>
          </w:tcPr>
          <w:p>
            <w:pPr>
              <w:spacing w:after="0" w:line="165"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Convertible Preferred Stock</w:t>
              </w:r>
            </w:hyperlink>
          </w:p>
        </w:tc>
        <w:tc>
          <w:tcPr>
            <w:tcW w:w="240" w:type="dxa"/>
            <w:vAlign w:val="bottom"/>
            <w:gridSpan w:val="4"/>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7"/>
                <w:szCs w:val="17"/>
                <w:color w:val="auto"/>
              </w:rPr>
            </w:pPr>
          </w:p>
        </w:tc>
        <w:tc>
          <w:tcPr>
            <w:tcW w:w="4840" w:type="dxa"/>
            <w:vAlign w:val="bottom"/>
            <w:gridSpan w:val="30"/>
          </w:tcPr>
          <w:p>
            <w:pPr>
              <w:spacing w:after="0" w:line="205"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Warrant Agreement, dated March 10, 2020, by and between DFP</w:t>
              </w:r>
            </w:hyperlink>
          </w:p>
        </w:tc>
        <w:tc>
          <w:tcPr>
            <w:tcW w:w="80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7"/>
                <w:szCs w:val="17"/>
                <w:color w:val="auto"/>
              </w:rPr>
            </w:pPr>
          </w:p>
        </w:tc>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March 13,</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0" w:type="dxa"/>
            <w:vAlign w:val="bottom"/>
            <w:tcBorders>
              <w:top w:val="single" w:sz="8" w:color="0000FF"/>
            </w:tcBorders>
            <w:gridSpan w:val="25"/>
          </w:tcPr>
          <w:p>
            <w:pPr>
              <w:spacing w:after="0" w:line="152" w:lineRule="exact"/>
              <w:rPr>
                <w:rFonts w:ascii="Times New Roman" w:cs="Times New Roman" w:eastAsia="Times New Roman" w:hAnsi="Times New Roman"/>
                <w:sz w:val="17"/>
                <w:szCs w:val="17"/>
                <w:color w:val="0000FF"/>
              </w:rPr>
            </w:pPr>
            <w:hyperlink r:id="rId87">
              <w:r>
                <w:rPr>
                  <w:rFonts w:ascii="Times New Roman" w:cs="Times New Roman" w:eastAsia="Times New Roman" w:hAnsi="Times New Roman"/>
                  <w:sz w:val="17"/>
                  <w:szCs w:val="17"/>
                  <w:color w:val="0000FF"/>
                </w:rPr>
                <w:t>and Continental Stock Transfer &amp; Trust Company, as warrant</w:t>
              </w:r>
            </w:hyperlink>
          </w:p>
        </w:tc>
        <w:tc>
          <w:tcPr>
            <w:tcW w:w="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2020</w:t>
            </w:r>
          </w:p>
        </w:tc>
        <w:tc>
          <w:tcPr>
            <w:tcW w:w="0" w:type="dxa"/>
            <w:vAlign w:val="bottom"/>
          </w:tcPr>
          <w:p>
            <w:pPr>
              <w:spacing w:after="0"/>
              <w:rPr>
                <w:sz w:val="1"/>
                <w:szCs w:val="1"/>
                <w:color w:val="auto"/>
              </w:rPr>
            </w:pPr>
          </w:p>
        </w:tc>
      </w:tr>
      <w:tr>
        <w:trPr>
          <w:trHeight w:val="165"/>
        </w:trPr>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tcBorders>
            <w:gridSpan w:val="17"/>
          </w:tcPr>
          <w:p>
            <w:pPr>
              <w:spacing w:after="0" w:line="165"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7"/>
                <w:szCs w:val="17"/>
                <w:color w:val="auto"/>
              </w:rPr>
            </w:pPr>
          </w:p>
        </w:tc>
        <w:tc>
          <w:tcPr>
            <w:tcW w:w="4840" w:type="dxa"/>
            <w:vAlign w:val="bottom"/>
            <w:gridSpan w:val="30"/>
          </w:tcPr>
          <w:p>
            <w:pPr>
              <w:spacing w:after="0" w:line="205" w:lineRule="exact"/>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Specimen Preferred Stock Certificate of The Oncology Institute,</w:t>
              </w:r>
            </w:hyperlink>
          </w:p>
        </w:tc>
        <w:tc>
          <w:tcPr>
            <w:tcW w:w="80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8-K/A</w:t>
            </w:r>
          </w:p>
        </w:tc>
        <w:tc>
          <w:tcPr>
            <w:tcW w:w="1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4.2</w:t>
            </w:r>
          </w:p>
        </w:tc>
        <w:tc>
          <w:tcPr>
            <w:tcW w:w="40" w:type="dxa"/>
            <w:vAlign w:val="bottom"/>
          </w:tcPr>
          <w:p>
            <w:pPr>
              <w:spacing w:after="0"/>
              <w:rPr>
                <w:sz w:val="17"/>
                <w:szCs w:val="17"/>
                <w:color w:val="auto"/>
              </w:rPr>
            </w:pPr>
          </w:p>
        </w:tc>
        <w:tc>
          <w:tcPr>
            <w:tcW w:w="10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November 22,</w:t>
            </w:r>
          </w:p>
        </w:tc>
        <w:tc>
          <w:tcPr>
            <w:tcW w:w="0" w:type="dxa"/>
            <w:vAlign w:val="bottom"/>
          </w:tcPr>
          <w:p>
            <w:pPr>
              <w:spacing w:after="0"/>
              <w:rPr>
                <w:sz w:val="1"/>
                <w:szCs w:val="1"/>
                <w:color w:val="auto"/>
              </w:rPr>
            </w:pPr>
          </w:p>
        </w:tc>
      </w:tr>
      <w:tr>
        <w:trPr>
          <w:trHeight w:val="152"/>
        </w:trPr>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bottom w:val="single" w:sz="8" w:color="0000FF"/>
            </w:tcBorders>
            <w:gridSpan w:val="2"/>
          </w:tcPr>
          <w:p>
            <w:pPr>
              <w:spacing w:after="0" w:line="152" w:lineRule="exact"/>
              <w:rPr>
                <w:rFonts w:ascii="Times New Roman" w:cs="Times New Roman" w:eastAsia="Times New Roman" w:hAnsi="Times New Roman"/>
                <w:sz w:val="17"/>
                <w:szCs w:val="17"/>
                <w:color w:val="0000FF"/>
                <w:w w:val="99"/>
              </w:rPr>
            </w:pPr>
            <w:hyperlink r:id="rId88">
              <w:r>
                <w:rPr>
                  <w:rFonts w:ascii="Times New Roman" w:cs="Times New Roman" w:eastAsia="Times New Roman" w:hAnsi="Times New Roman"/>
                  <w:sz w:val="17"/>
                  <w:szCs w:val="17"/>
                  <w:color w:val="0000FF"/>
                  <w:w w:val="99"/>
                </w:rPr>
                <w:t>Inc.</w:t>
              </w:r>
            </w:hyperlink>
          </w:p>
        </w:tc>
        <w:tc>
          <w:tcPr>
            <w:tcW w:w="428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jc w:val="center"/>
              <w:spacing w:after="0" w:line="152" w:lineRule="exact"/>
              <w:rPr>
                <w:sz w:val="20"/>
                <w:szCs w:val="20"/>
                <w:color w:val="auto"/>
              </w:rPr>
            </w:pPr>
            <w:r>
              <w:rPr>
                <w:rFonts w:ascii="Times New Roman" w:cs="Times New Roman" w:eastAsia="Times New Roman" w:hAnsi="Times New Roman"/>
                <w:sz w:val="17"/>
                <w:szCs w:val="17"/>
                <w:color w:val="auto"/>
                <w:w w:val="99"/>
              </w:rPr>
              <w:t>2021</w:t>
            </w:r>
          </w:p>
        </w:tc>
        <w:tc>
          <w:tcPr>
            <w:tcW w:w="0" w:type="dxa"/>
            <w:vAlign w:val="bottom"/>
          </w:tcPr>
          <w:p>
            <w:pPr>
              <w:spacing w:after="0"/>
              <w:rPr>
                <w:sz w:val="1"/>
                <w:szCs w:val="1"/>
                <w:color w:val="auto"/>
              </w:rPr>
            </w:pPr>
          </w:p>
        </w:tc>
      </w:tr>
      <w:tr>
        <w:trPr>
          <w:trHeight w:val="218"/>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4840" w:type="dxa"/>
            <w:vAlign w:val="bottom"/>
            <w:gridSpan w:val="30"/>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Secured Convertible Note</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10,</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6"/>
                <w:szCs w:val="16"/>
                <w:color w:val="auto"/>
              </w:rPr>
            </w:pPr>
          </w:p>
        </w:tc>
        <w:tc>
          <w:tcPr>
            <w:tcW w:w="4840" w:type="dxa"/>
            <w:vAlign w:val="bottom"/>
            <w:gridSpan w:val="30"/>
          </w:tcPr>
          <w:p>
            <w:pPr>
              <w:spacing w:after="0" w:line="190"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Form of Warrant</w:t>
              </w:r>
            </w:hyperlink>
          </w:p>
        </w:tc>
        <w:tc>
          <w:tcPr>
            <w:tcW w:w="80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4.2</w:t>
            </w:r>
          </w:p>
        </w:tc>
        <w:tc>
          <w:tcPr>
            <w:tcW w:w="4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8"/>
              </w:rPr>
              <w:t>August 10,</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6"/>
                <w:szCs w:val="16"/>
                <w:color w:val="auto"/>
              </w:rPr>
            </w:pPr>
          </w:p>
        </w:tc>
        <w:tc>
          <w:tcPr>
            <w:tcW w:w="4840" w:type="dxa"/>
            <w:vAlign w:val="bottom"/>
            <w:gridSpan w:val="30"/>
          </w:tcPr>
          <w:p>
            <w:pPr>
              <w:spacing w:after="0" w:line="190"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Form of pre-funded Warrant</w:t>
              </w:r>
            </w:hyperlink>
          </w:p>
        </w:tc>
        <w:tc>
          <w:tcPr>
            <w:tcW w:w="80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4.1</w:t>
            </w:r>
          </w:p>
        </w:tc>
        <w:tc>
          <w:tcPr>
            <w:tcW w:w="4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March 25,</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6"/>
                <w:szCs w:val="16"/>
                <w:color w:val="auto"/>
              </w:rPr>
            </w:pPr>
          </w:p>
        </w:tc>
        <w:tc>
          <w:tcPr>
            <w:tcW w:w="4840" w:type="dxa"/>
            <w:vAlign w:val="bottom"/>
            <w:gridSpan w:val="30"/>
          </w:tcPr>
          <w:p>
            <w:pPr>
              <w:spacing w:after="0" w:line="190"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Form of Common Warrant</w:t>
              </w:r>
            </w:hyperlink>
          </w:p>
        </w:tc>
        <w:tc>
          <w:tcPr>
            <w:tcW w:w="80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4.2</w:t>
            </w:r>
          </w:p>
        </w:tc>
        <w:tc>
          <w:tcPr>
            <w:tcW w:w="4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March 25,</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6"/>
                <w:szCs w:val="16"/>
                <w:color w:val="auto"/>
              </w:rPr>
            </w:pPr>
          </w:p>
        </w:tc>
        <w:tc>
          <w:tcPr>
            <w:tcW w:w="4840" w:type="dxa"/>
            <w:vAlign w:val="bottom"/>
            <w:gridSpan w:val="30"/>
          </w:tcPr>
          <w:p>
            <w:pPr>
              <w:spacing w:after="0" w:line="190"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of Deerfield Common Warrant</w:t>
              </w:r>
            </w:hyperlink>
          </w:p>
        </w:tc>
        <w:tc>
          <w:tcPr>
            <w:tcW w:w="80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4.3</w:t>
            </w:r>
          </w:p>
        </w:tc>
        <w:tc>
          <w:tcPr>
            <w:tcW w:w="4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March 25,</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center"/>
              <w:spacing w:after="0" w:line="200" w:lineRule="exact"/>
              <w:rPr>
                <w:sz w:val="20"/>
                <w:szCs w:val="20"/>
                <w:color w:val="auto"/>
              </w:rPr>
            </w:pPr>
            <w:r>
              <w:rPr>
                <w:rFonts w:ascii="Times New Roman" w:cs="Times New Roman" w:eastAsia="Times New Roman" w:hAnsi="Times New Roman"/>
                <w:sz w:val="18"/>
                <w:szCs w:val="18"/>
                <w:color w:val="auto"/>
                <w:w w:val="94"/>
              </w:rPr>
              <w:t>2025</w:t>
            </w:r>
          </w:p>
        </w:tc>
        <w:tc>
          <w:tcPr>
            <w:tcW w:w="0" w:type="dxa"/>
            <w:vAlign w:val="bottom"/>
          </w:tcPr>
          <w:p>
            <w:pPr>
              <w:spacing w:after="0"/>
              <w:rPr>
                <w:sz w:val="1"/>
                <w:szCs w:val="1"/>
                <w:color w:val="auto"/>
              </w:rPr>
            </w:pPr>
          </w:p>
        </w:tc>
      </w:tr>
      <w:tr>
        <w:trPr>
          <w:trHeight w:val="190"/>
        </w:trPr>
        <w:tc>
          <w:tcPr>
            <w:tcW w:w="100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6"/>
                <w:szCs w:val="16"/>
                <w:color w:val="auto"/>
              </w:rPr>
            </w:pPr>
          </w:p>
        </w:tc>
        <w:tc>
          <w:tcPr>
            <w:tcW w:w="4840" w:type="dxa"/>
            <w:vAlign w:val="bottom"/>
            <w:gridSpan w:val="30"/>
          </w:tcPr>
          <w:p>
            <w:pPr>
              <w:spacing w:after="0" w:line="190"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Credit Agreement by and among The Oncology Institute, Inc. and</w:t>
              </w:r>
            </w:hyperlink>
          </w:p>
        </w:tc>
        <w:tc>
          <w:tcPr>
            <w:tcW w:w="800" w:type="dxa"/>
            <w:vAlign w:val="bottom"/>
            <w:gridSpan w:val="2"/>
          </w:tcPr>
          <w:p>
            <w:pPr>
              <w:jc w:val="center"/>
              <w:ind w:right="100"/>
              <w:spacing w:after="0" w:line="190" w:lineRule="exact"/>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6"/>
                <w:szCs w:val="16"/>
                <w:color w:val="auto"/>
              </w:rPr>
            </w:pPr>
          </w:p>
        </w:tc>
        <w:tc>
          <w:tcPr>
            <w:tcW w:w="106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7"/>
              </w:rPr>
              <w:t>July 7, 2026</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60" w:type="dxa"/>
            <w:vAlign w:val="bottom"/>
            <w:tcBorders>
              <w:top w:val="single" w:sz="8" w:color="0000FF"/>
              <w:bottom w:val="single" w:sz="8" w:color="0000FF"/>
            </w:tcBorders>
            <w:gridSpan w:val="19"/>
          </w:tcPr>
          <w:p>
            <w:pPr>
              <w:spacing w:after="0" w:line="178" w:lineRule="exact"/>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Orbimed Opportunities (CA) V LLC, dated as of July 1, 2026</w:t>
              </w:r>
            </w:hyperlink>
          </w:p>
        </w:tc>
        <w:tc>
          <w:tcPr>
            <w:tcW w:w="280" w:type="dxa"/>
            <w:vAlign w:val="bottom"/>
            <w:tcBorders>
              <w:top w:val="single" w:sz="8" w:color="0000FF"/>
            </w:tcBorders>
            <w:gridSpan w:val="8"/>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0"/>
                <w:szCs w:val="20"/>
                <w:color w:val="auto"/>
              </w:rPr>
            </w:pPr>
          </w:p>
        </w:tc>
        <w:tc>
          <w:tcPr>
            <w:tcW w:w="4840" w:type="dxa"/>
            <w:vAlign w:val="bottom"/>
            <w:gridSpan w:val="30"/>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Pledge and Security Agreement by and among The Oncology</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July 7, 2026</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40" w:type="dxa"/>
            <w:vAlign w:val="bottom"/>
            <w:tcBorders>
              <w:top w:val="single" w:sz="8" w:color="0000FF"/>
            </w:tcBorders>
            <w:gridSpan w:val="18"/>
          </w:tcPr>
          <w:p>
            <w:pPr>
              <w:spacing w:after="0" w:line="178" w:lineRule="exact"/>
              <w:rPr>
                <w:rFonts w:ascii="Times New Roman" w:cs="Times New Roman" w:eastAsia="Times New Roman" w:hAnsi="Times New Roman"/>
                <w:sz w:val="18"/>
                <w:szCs w:val="18"/>
                <w:color w:val="0000FF"/>
                <w:w w:val="95"/>
              </w:rPr>
            </w:pPr>
            <w:hyperlink r:id="rId95">
              <w:r>
                <w:rPr>
                  <w:rFonts w:ascii="Times New Roman" w:cs="Times New Roman" w:eastAsia="Times New Roman" w:hAnsi="Times New Roman"/>
                  <w:sz w:val="18"/>
                  <w:szCs w:val="18"/>
                  <w:color w:val="0000FF"/>
                  <w:w w:val="95"/>
                </w:rPr>
                <w:t>Institute, Inc., the guarantors and Orbimed Opportunities (CA)</w:t>
              </w:r>
            </w:hyperlink>
          </w:p>
        </w:tc>
        <w:tc>
          <w:tcPr>
            <w:tcW w:w="500" w:type="dxa"/>
            <w:vAlign w:val="bottom"/>
            <w:gridSpan w:val="12"/>
          </w:tcPr>
          <w:p>
            <w:pPr>
              <w:ind w:left="120"/>
              <w:spacing w:after="0" w:line="178"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V</w:t>
              </w:r>
            </w:hyperlink>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Borders>
              <w:top w:val="single" w:sz="8" w:color="0000FF"/>
              <w:bottom w:val="single" w:sz="8" w:color="0000FF"/>
            </w:tcBorders>
            <w:gridSpan w:val="8"/>
          </w:tcPr>
          <w:p>
            <w:pPr>
              <w:spacing w:after="0" w:line="178" w:lineRule="exact"/>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LLC, dated as of July 1, 2026</w:t>
              </w:r>
            </w:hyperlink>
          </w:p>
        </w:tc>
        <w:tc>
          <w:tcPr>
            <w:tcW w:w="2480" w:type="dxa"/>
            <w:vAlign w:val="bottom"/>
            <w:tcBorders>
              <w:top w:val="single" w:sz="8" w:color="0000FF"/>
            </w:tcBorders>
            <w:gridSpan w:val="16"/>
          </w:tcPr>
          <w:p>
            <w:pPr>
              <w:spacing w:after="0"/>
              <w:rPr>
                <w:sz w:val="15"/>
                <w:szCs w:val="15"/>
                <w:color w:val="auto"/>
              </w:rPr>
            </w:pPr>
          </w:p>
        </w:tc>
        <w:tc>
          <w:tcPr>
            <w:tcW w:w="140" w:type="dxa"/>
            <w:vAlign w:val="bottom"/>
            <w:gridSpan w:val="4"/>
          </w:tcPr>
          <w:p>
            <w:pPr>
              <w:spacing w:after="0"/>
              <w:rPr>
                <w:sz w:val="15"/>
                <w:szCs w:val="15"/>
                <w:color w:val="auto"/>
              </w:rPr>
            </w:pPr>
          </w:p>
        </w:tc>
        <w:tc>
          <w:tcPr>
            <w:tcW w:w="1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0"/>
                <w:szCs w:val="20"/>
                <w:color w:val="auto"/>
              </w:rPr>
            </w:pPr>
          </w:p>
        </w:tc>
        <w:tc>
          <w:tcPr>
            <w:tcW w:w="4840" w:type="dxa"/>
            <w:vAlign w:val="bottom"/>
            <w:gridSpan w:val="30"/>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Credit Agreement among Starling Oncology Management,</w:t>
              </w:r>
            </w:hyperlink>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2"/>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001-39248</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gridSpan w:val="16"/>
            <w:shd w:val="clear" w:color="auto" w:fill="0000FF"/>
          </w:tcPr>
          <w:p>
            <w:pPr>
              <w:spacing w:after="0" w:line="20" w:lineRule="exact"/>
              <w:rPr>
                <w:sz w:val="1"/>
                <w:szCs w:val="1"/>
                <w:color w:val="auto"/>
              </w:rPr>
            </w:pPr>
          </w:p>
        </w:tc>
        <w:tc>
          <w:tcPr>
            <w:tcW w:w="58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4"/>
              </w:rPr>
              <w:t>2026</w:t>
            </w:r>
          </w:p>
        </w:tc>
        <w:tc>
          <w:tcPr>
            <w:tcW w:w="0" w:type="dxa"/>
            <w:vAlign w:val="bottom"/>
          </w:tcPr>
          <w:p>
            <w:pPr>
              <w:spacing w:after="0" w:line="20" w:lineRule="exact"/>
              <w:rPr>
                <w:sz w:val="1"/>
                <w:szCs w:val="1"/>
                <w:color w:val="auto"/>
              </w:rPr>
            </w:pPr>
          </w:p>
        </w:tc>
      </w:tr>
      <w:tr>
        <w:trPr>
          <w:trHeight w:val="178"/>
        </w:trPr>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tcBorders>
              <w:bottom w:val="single" w:sz="8" w:color="0000FF"/>
            </w:tcBorders>
            <w:gridSpan w:val="28"/>
          </w:tcPr>
          <w:p>
            <w:pPr>
              <w:spacing w:after="0" w:line="178" w:lineRule="exact"/>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Limited Liability Company, and Gemino Healthcare Finance, LLC</w:t>
              </w:r>
            </w:hyperlink>
          </w:p>
        </w:tc>
        <w:tc>
          <w:tcPr>
            <w:tcW w:w="12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02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d/b/a SLR Healthcare ABL, dated as of August 20,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753110</wp:posOffset>
            </wp:positionV>
            <wp:extent cx="716089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 or</w:t>
      </w:r>
    </w:p>
    <w:p>
      <w:pPr>
        <w:ind w:left="40" w:hanging="35"/>
        <w:spacing w:after="0" w:line="209" w:lineRule="auto"/>
        <w:rPr>
          <w:sz w:val="20"/>
          <w:szCs w:val="20"/>
          <w:color w:val="auto"/>
        </w:rPr>
      </w:pPr>
      <w:r>
        <w:rPr>
          <w:rFonts w:ascii="Times New Roman" w:cs="Times New Roman" w:eastAsia="Times New Roman" w:hAnsi="Times New Roman"/>
          <w:sz w:val="17"/>
          <w:szCs w:val="17"/>
          <w:b w:val="1"/>
          <w:bCs w:val="1"/>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-6985</wp:posOffset>
            </wp:positionV>
            <wp:extent cx="7042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ectPr>
          <w:pgSz w:w="11900" w:h="16838" w:orient="portrait"/>
          <w:cols w:equalWidth="0" w:num="2">
            <w:col w:w="10000" w:space="260"/>
            <w:col w:w="780"/>
          </w:cols>
          <w:pgMar w:left="320" w:top="91"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00"/>
          </w:cols>
          <w:pgMar w:left="320" w:top="1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0" w:firstLine="132"/>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Number </w:t>
      </w: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Filed or</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jc w:val="center"/>
              <w:spacing w:after="0" w:line="132" w:lineRule="exact"/>
              <w:rPr>
                <w:sz w:val="20"/>
                <w:szCs w:val="20"/>
                <w:color w:val="auto"/>
              </w:rPr>
            </w:pPr>
            <w:r>
              <w:rPr>
                <w:rFonts w:ascii="Times New Roman" w:cs="Times New Roman" w:eastAsia="Times New Roman" w:hAnsi="Times New Roman"/>
                <w:sz w:val="15"/>
                <w:szCs w:val="15"/>
                <w:b w:val="1"/>
                <w:bCs w:val="1"/>
                <w:color w:val="auto"/>
              </w:rPr>
              <w:t>Furnished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20" w:type="dxa"/>
            <w:vAlign w:val="bottom"/>
            <w:gridSpan w:val="4"/>
            <w:vMerge w:val="restart"/>
          </w:tcPr>
          <w:p>
            <w:pPr>
              <w:ind w:left="1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gridSpan w:val="4"/>
            <w:vMerge w:val="continue"/>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auto"/>
            </w:tcBorders>
          </w:tcPr>
          <w:p>
            <w:pPr>
              <w:spacing w:after="0"/>
              <w:rPr>
                <w:sz w:val="6"/>
                <w:szCs w:val="6"/>
                <w:color w:val="auto"/>
              </w:rPr>
            </w:pPr>
          </w:p>
        </w:tc>
        <w:tc>
          <w:tcPr>
            <w:tcW w:w="40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740" w:type="dxa"/>
            <w:vAlign w:val="bottom"/>
            <w:gridSpan w:val="3"/>
          </w:tcPr>
          <w:p>
            <w:pPr>
              <w:spacing w:after="0" w:line="178" w:lineRule="exact"/>
              <w:rPr>
                <w:sz w:val="20"/>
                <w:szCs w:val="20"/>
                <w:color w:val="auto"/>
              </w:rPr>
            </w:pPr>
            <w:r>
              <w:rPr>
                <w:rFonts w:ascii="Times New Roman" w:cs="Times New Roman" w:eastAsia="Times New Roman" w:hAnsi="Times New Roman"/>
                <w:sz w:val="18"/>
                <w:szCs w:val="18"/>
                <w:color w:val="0000FF"/>
              </w:rPr>
              <w:t>Certification Pursuant to Rule 13a-14(a) under the Securities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40" w:type="dxa"/>
            <w:vAlign w:val="bottom"/>
            <w:tcBorders>
              <w:top w:val="single" w:sz="8" w:color="0000FF"/>
              <w:bottom w:val="single" w:sz="8" w:color="0000FF"/>
            </w:tcBorders>
          </w:tcPr>
          <w:p>
            <w:pPr>
              <w:spacing w:after="0" w:line="178" w:lineRule="exact"/>
              <w:rPr>
                <w:sz w:val="20"/>
                <w:szCs w:val="20"/>
                <w:color w:val="auto"/>
              </w:rPr>
            </w:pPr>
            <w:r>
              <w:rPr>
                <w:rFonts w:ascii="Times New Roman" w:cs="Times New Roman" w:eastAsia="Times New Roman" w:hAnsi="Times New Roman"/>
                <w:sz w:val="18"/>
                <w:szCs w:val="18"/>
                <w:color w:val="0000FF"/>
                <w:w w:val="96"/>
              </w:rPr>
              <w:t>Exchange Act of 1934 of the Principal Executive Officer.</w:t>
            </w:r>
          </w:p>
        </w:tc>
        <w:tc>
          <w:tcPr>
            <w:tcW w:w="240" w:type="dxa"/>
            <w:vAlign w:val="bottom"/>
            <w:tcBorders>
              <w:top w:val="single" w:sz="8" w:color="0000FF"/>
            </w:tcBorders>
          </w:tcPr>
          <w:p>
            <w:pPr>
              <w:spacing w:after="0"/>
              <w:rPr>
                <w:sz w:val="15"/>
                <w:szCs w:val="15"/>
                <w:color w:val="auto"/>
              </w:rPr>
            </w:pPr>
          </w:p>
        </w:tc>
        <w:tc>
          <w:tcPr>
            <w:tcW w:w="54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sectPr>
          <w:pgSz w:w="11900" w:h="16838" w:orient="portrait"/>
          <w:cols w:equalWidth="0" w:num="2">
            <w:col w:w="780" w:space="240"/>
            <w:col w:w="10180"/>
          </w:cols>
          <w:pgMar w:left="320" w:top="108" w:right="37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under Securities</w:t>
            </w: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178"/>
        </w:trPr>
        <w:tc>
          <w:tcPr>
            <w:tcW w:w="1020" w:type="dxa"/>
            <w:vAlign w:val="bottom"/>
          </w:tcPr>
          <w:p>
            <w:pPr>
              <w:spacing w:after="0"/>
              <w:rPr>
                <w:sz w:val="15"/>
                <w:szCs w:val="15"/>
                <w:color w:val="auto"/>
              </w:rPr>
            </w:pPr>
          </w:p>
        </w:tc>
        <w:tc>
          <w:tcPr>
            <w:tcW w:w="4020" w:type="dxa"/>
            <w:vAlign w:val="bottom"/>
            <w:tcBorders>
              <w:top w:val="single" w:sz="8" w:color="0000FF"/>
            </w:tcBorders>
            <w:gridSpan w:val="4"/>
          </w:tcPr>
          <w:p>
            <w:pPr>
              <w:spacing w:after="0" w:line="178" w:lineRule="exact"/>
              <w:rPr>
                <w:sz w:val="20"/>
                <w:szCs w:val="20"/>
                <w:color w:val="auto"/>
              </w:rPr>
            </w:pPr>
            <w:r>
              <w:rPr>
                <w:rFonts w:ascii="Times New Roman" w:cs="Times New Roman" w:eastAsia="Times New Roman" w:hAnsi="Times New Roman"/>
                <w:sz w:val="18"/>
                <w:szCs w:val="18"/>
                <w:color w:val="0000FF"/>
                <w:w w:val="97"/>
              </w:rPr>
              <w:t>Exchange Act of 1934 of the Principal Financial Officer.</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178"/>
        </w:trPr>
        <w:tc>
          <w:tcPr>
            <w:tcW w:w="1020" w:type="dxa"/>
            <w:vAlign w:val="bottom"/>
          </w:tcPr>
          <w:p>
            <w:pPr>
              <w:spacing w:after="0"/>
              <w:rPr>
                <w:sz w:val="15"/>
                <w:szCs w:val="15"/>
                <w:color w:val="auto"/>
              </w:rPr>
            </w:pPr>
          </w:p>
        </w:tc>
        <w:tc>
          <w:tcPr>
            <w:tcW w:w="4360" w:type="dxa"/>
            <w:vAlign w:val="bottom"/>
            <w:tcBorders>
              <w:top w:val="single" w:sz="8" w:color="0000FF"/>
            </w:tcBorders>
            <w:gridSpan w:val="5"/>
          </w:tcPr>
          <w:p>
            <w:pPr>
              <w:spacing w:after="0" w:line="178" w:lineRule="exact"/>
              <w:rPr>
                <w:sz w:val="20"/>
                <w:szCs w:val="20"/>
                <w:color w:val="auto"/>
              </w:rPr>
            </w:pPr>
            <w:r>
              <w:rPr>
                <w:rFonts w:ascii="Times New Roman" w:cs="Times New Roman" w:eastAsia="Times New Roman" w:hAnsi="Times New Roman"/>
                <w:sz w:val="18"/>
                <w:szCs w:val="18"/>
                <w:color w:val="0000FF"/>
                <w:w w:val="97"/>
              </w:rPr>
              <w:t>Pursuant to Section 906 of the Sarbanes-Oxley Act of 2002 of</w:t>
            </w:r>
          </w:p>
        </w:tc>
        <w:tc>
          <w:tcPr>
            <w:tcW w:w="272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8"/>
                <w:szCs w:val="18"/>
                <w:color w:val="0000FF"/>
              </w:rPr>
              <w:t>the</w:t>
            </w:r>
          </w:p>
        </w:tc>
        <w:tc>
          <w:tcPr>
            <w:tcW w:w="2600" w:type="dxa"/>
            <w:vAlign w:val="bottom"/>
          </w:tcPr>
          <w:p>
            <w:pPr>
              <w:spacing w:after="0"/>
              <w:rPr>
                <w:sz w:val="15"/>
                <w:szCs w:val="15"/>
                <w:color w:val="auto"/>
              </w:rPr>
            </w:pPr>
          </w:p>
        </w:tc>
      </w:tr>
      <w:tr>
        <w:trPr>
          <w:trHeight w:val="178"/>
        </w:trPr>
        <w:tc>
          <w:tcPr>
            <w:tcW w:w="1020" w:type="dxa"/>
            <w:vAlign w:val="bottom"/>
          </w:tcPr>
          <w:p>
            <w:pPr>
              <w:spacing w:after="0"/>
              <w:rPr>
                <w:sz w:val="15"/>
                <w:szCs w:val="15"/>
                <w:color w:val="auto"/>
              </w:rPr>
            </w:pPr>
          </w:p>
        </w:tc>
        <w:tc>
          <w:tcPr>
            <w:tcW w:w="4620" w:type="dxa"/>
            <w:vAlign w:val="bottom"/>
            <w:tcBorders>
              <w:top w:val="single" w:sz="8" w:color="0000FF"/>
            </w:tcBorders>
            <w:gridSpan w:val="6"/>
          </w:tcPr>
          <w:p>
            <w:pPr>
              <w:spacing w:after="0" w:line="178" w:lineRule="exact"/>
              <w:rPr>
                <w:sz w:val="20"/>
                <w:szCs w:val="20"/>
                <w:color w:val="auto"/>
              </w:rPr>
            </w:pPr>
            <w:r>
              <w:rPr>
                <w:rFonts w:ascii="Times New Roman" w:cs="Times New Roman" w:eastAsia="Times New Roman" w:hAnsi="Times New Roman"/>
                <w:sz w:val="18"/>
                <w:szCs w:val="18"/>
                <w:color w:val="0000FF"/>
              </w:rPr>
              <w:t>Principal Executive Officer.</w:t>
            </w:r>
          </w:p>
        </w:tc>
        <w:tc>
          <w:tcPr>
            <w:tcW w:w="24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w:t>
            </w:r>
          </w:p>
        </w:tc>
        <w:tc>
          <w:tcPr>
            <w:tcW w:w="2600" w:type="dxa"/>
            <w:vAlign w:val="bottom"/>
          </w:tcPr>
          <w:p>
            <w:pPr>
              <w:ind w:left="2460"/>
              <w:spacing w:after="0"/>
              <w:rPr>
                <w:sz w:val="20"/>
                <w:szCs w:val="20"/>
                <w:color w:val="auto"/>
              </w:rPr>
            </w:pPr>
            <w:r>
              <w:rPr>
                <w:rFonts w:ascii="Times New Roman" w:cs="Times New Roman" w:eastAsia="Times New Roman" w:hAnsi="Times New Roman"/>
                <w:sz w:val="18"/>
                <w:szCs w:val="18"/>
                <w:color w:val="auto"/>
                <w:w w:val="91"/>
              </w:rPr>
              <w:t>X</w:t>
            </w:r>
          </w:p>
        </w:tc>
      </w:tr>
      <w:tr>
        <w:trPr>
          <w:trHeight w:val="178"/>
        </w:trPr>
        <w:tc>
          <w:tcPr>
            <w:tcW w:w="1020" w:type="dxa"/>
            <w:vAlign w:val="bottom"/>
          </w:tcPr>
          <w:p>
            <w:pPr>
              <w:spacing w:after="0"/>
              <w:rPr>
                <w:sz w:val="15"/>
                <w:szCs w:val="15"/>
                <w:color w:val="auto"/>
              </w:rPr>
            </w:pPr>
          </w:p>
        </w:tc>
        <w:tc>
          <w:tcPr>
            <w:tcW w:w="4360" w:type="dxa"/>
            <w:vAlign w:val="bottom"/>
            <w:tcBorders>
              <w:top w:val="single" w:sz="8" w:color="0000FF"/>
            </w:tcBorders>
            <w:gridSpan w:val="5"/>
          </w:tcPr>
          <w:p>
            <w:pPr>
              <w:spacing w:after="0" w:line="178" w:lineRule="exact"/>
              <w:rPr>
                <w:sz w:val="20"/>
                <w:szCs w:val="20"/>
                <w:color w:val="auto"/>
              </w:rPr>
            </w:pPr>
            <w:r>
              <w:rPr>
                <w:rFonts w:ascii="Times New Roman" w:cs="Times New Roman" w:eastAsia="Times New Roman" w:hAnsi="Times New Roman"/>
                <w:sz w:val="18"/>
                <w:szCs w:val="18"/>
                <w:color w:val="0000FF"/>
                <w:w w:val="97"/>
              </w:rPr>
              <w:t>Pursuant to Section 906 of the Sarbanes-Oxley Act of 2002 of</w:t>
            </w:r>
          </w:p>
        </w:tc>
        <w:tc>
          <w:tcPr>
            <w:tcW w:w="2720" w:type="dxa"/>
            <w:vAlign w:val="bottom"/>
            <w:gridSpan w:val="2"/>
          </w:tcPr>
          <w:p>
            <w:pPr>
              <w:ind w:left="60"/>
              <w:spacing w:after="0" w:line="178" w:lineRule="exact"/>
              <w:rPr>
                <w:sz w:val="20"/>
                <w:szCs w:val="20"/>
                <w:color w:val="auto"/>
              </w:rPr>
            </w:pPr>
            <w:r>
              <w:rPr>
                <w:rFonts w:ascii="Times New Roman" w:cs="Times New Roman" w:eastAsia="Times New Roman" w:hAnsi="Times New Roman"/>
                <w:sz w:val="18"/>
                <w:szCs w:val="18"/>
                <w:color w:val="0000FF"/>
              </w:rPr>
              <w:t>the</w:t>
            </w:r>
          </w:p>
        </w:tc>
        <w:tc>
          <w:tcPr>
            <w:tcW w:w="2600" w:type="dxa"/>
            <w:vAlign w:val="bottom"/>
          </w:tcPr>
          <w:p>
            <w:pPr>
              <w:spacing w:after="0"/>
              <w:rPr>
                <w:sz w:val="15"/>
                <w:szCs w:val="15"/>
                <w:color w:val="auto"/>
              </w:rPr>
            </w:pPr>
          </w:p>
        </w:tc>
      </w:tr>
      <w:tr>
        <w:trPr>
          <w:trHeight w:val="178"/>
        </w:trPr>
        <w:tc>
          <w:tcPr>
            <w:tcW w:w="1020" w:type="dxa"/>
            <w:vAlign w:val="bottom"/>
          </w:tcPr>
          <w:p>
            <w:pPr>
              <w:spacing w:after="0"/>
              <w:rPr>
                <w:sz w:val="15"/>
                <w:szCs w:val="15"/>
                <w:color w:val="auto"/>
              </w:rPr>
            </w:pPr>
          </w:p>
        </w:tc>
        <w:tc>
          <w:tcPr>
            <w:tcW w:w="4620" w:type="dxa"/>
            <w:vAlign w:val="bottom"/>
            <w:tcBorders>
              <w:top w:val="single" w:sz="8" w:color="0000FF"/>
            </w:tcBorders>
            <w:gridSpan w:val="6"/>
          </w:tcPr>
          <w:p>
            <w:pPr>
              <w:spacing w:after="0" w:line="178" w:lineRule="exact"/>
              <w:rPr>
                <w:sz w:val="20"/>
                <w:szCs w:val="20"/>
                <w:color w:val="auto"/>
              </w:rPr>
            </w:pPr>
            <w:r>
              <w:rPr>
                <w:rFonts w:ascii="Times New Roman" w:cs="Times New Roman" w:eastAsia="Times New Roman" w:hAnsi="Times New Roman"/>
                <w:sz w:val="18"/>
                <w:szCs w:val="18"/>
                <w:color w:val="0000FF"/>
              </w:rPr>
              <w:t>Principal Financial Officer</w:t>
            </w:r>
          </w:p>
        </w:tc>
        <w:tc>
          <w:tcPr>
            <w:tcW w:w="2460" w:type="dxa"/>
            <w:vAlign w:val="bottom"/>
          </w:tcPr>
          <w:p>
            <w:pPr>
              <w:spacing w:after="0"/>
              <w:rPr>
                <w:sz w:val="15"/>
                <w:szCs w:val="15"/>
                <w:color w:val="auto"/>
              </w:rPr>
            </w:pPr>
          </w:p>
        </w:tc>
        <w:tc>
          <w:tcPr>
            <w:tcW w:w="260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600" w:type="dxa"/>
            <w:vAlign w:val="bottom"/>
          </w:tcPr>
          <w:p>
            <w:pPr>
              <w:spacing w:after="0"/>
              <w:rPr>
                <w:sz w:val="23"/>
                <w:szCs w:val="23"/>
                <w:color w:val="auto"/>
              </w:rPr>
            </w:pPr>
          </w:p>
        </w:tc>
      </w:tr>
      <w:tr>
        <w:trPr>
          <w:trHeight w:val="251"/>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600" w:type="dxa"/>
            <w:vAlign w:val="bottom"/>
          </w:tcPr>
          <w:p>
            <w:pPr>
              <w:spacing w:after="0"/>
              <w:rPr>
                <w:sz w:val="21"/>
                <w:szCs w:val="21"/>
                <w:color w:val="auto"/>
              </w:rPr>
            </w:pPr>
          </w:p>
        </w:tc>
      </w:tr>
      <w:tr>
        <w:trPr>
          <w:trHeight w:val="22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600" w:type="dxa"/>
            <w:vAlign w:val="bottom"/>
          </w:tcPr>
          <w:p>
            <w:pPr>
              <w:spacing w:after="0"/>
              <w:rPr>
                <w:sz w:val="19"/>
                <w:szCs w:val="19"/>
                <w:color w:val="auto"/>
              </w:rPr>
            </w:pPr>
          </w:p>
        </w:tc>
      </w:tr>
      <w:tr>
        <w:trPr>
          <w:trHeight w:val="229"/>
        </w:trPr>
        <w:tc>
          <w:tcPr>
            <w:tcW w:w="1020" w:type="dxa"/>
            <w:vAlign w:val="bottom"/>
          </w:tcPr>
          <w:p>
            <w:pPr>
              <w:spacing w:after="0"/>
              <w:rPr>
                <w:sz w:val="19"/>
                <w:szCs w:val="19"/>
                <w:color w:val="auto"/>
              </w:rPr>
            </w:pPr>
          </w:p>
        </w:tc>
        <w:tc>
          <w:tcPr>
            <w:tcW w:w="7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Document</w:t>
            </w:r>
          </w:p>
        </w:tc>
        <w:tc>
          <w:tcPr>
            <w:tcW w:w="2600" w:type="dxa"/>
            <w:vAlign w:val="bottom"/>
          </w:tcPr>
          <w:p>
            <w:pPr>
              <w:spacing w:after="0"/>
              <w:rPr>
                <w:sz w:val="19"/>
                <w:szCs w:val="19"/>
                <w:color w:val="auto"/>
              </w:rPr>
            </w:pPr>
          </w:p>
        </w:tc>
      </w:tr>
    </w:tbl>
    <w:p>
      <w:pPr>
        <w:spacing w:after="0" w:line="22" w:lineRule="exact"/>
        <w:rPr>
          <w:sz w:val="20"/>
          <w:szCs w:val="20"/>
          <w:color w:val="auto"/>
        </w:rPr>
      </w:pPr>
    </w:p>
    <w:p>
      <w:pPr>
        <w:sectPr>
          <w:pgSz w:w="11900" w:h="16838" w:orient="portrait"/>
          <w:cols w:equalWidth="0" w:num="1">
            <w:col w:w="11200"/>
          </w:cols>
          <w:pgMar w:left="320" w:top="10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 Page Interactive Data File - (formatted as Inline XBRL and</w:t>
      </w:r>
    </w:p>
    <w:p>
      <w:pPr>
        <w:spacing w:after="0"/>
        <w:rPr>
          <w:sz w:val="20"/>
          <w:szCs w:val="20"/>
          <w:color w:val="auto"/>
        </w:rPr>
      </w:pPr>
      <w:r>
        <w:rPr>
          <w:rFonts w:ascii="Times New Roman" w:cs="Times New Roman" w:eastAsia="Times New Roman" w:hAnsi="Times New Roman"/>
          <w:sz w:val="18"/>
          <w:szCs w:val="18"/>
          <w:color w:val="auto"/>
        </w:rPr>
        <w:t>contained in Exhibit 101)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756285</wp:posOffset>
            </wp:positionV>
            <wp:extent cx="716089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2">
            <w:col w:w="680" w:space="360"/>
            <w:col w:w="10160"/>
          </w:cols>
          <w:pgMar w:left="320" w:top="108" w:right="37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November 5, 2026.</w:t>
      </w:r>
    </w:p>
    <w:p>
      <w:pPr>
        <w:spacing w:after="0" w:line="200" w:lineRule="exact"/>
        <w:rPr>
          <w:sz w:val="20"/>
          <w:szCs w:val="20"/>
          <w:color w:val="auto"/>
        </w:rPr>
      </w:pPr>
    </w:p>
    <w:p>
      <w:pPr>
        <w:spacing w:after="0" w:line="21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STARLING ONCOLOGY, INC.</w:t>
      </w:r>
    </w:p>
    <w:p>
      <w:pPr>
        <w:spacing w:after="0" w:line="200" w:lineRule="exact"/>
        <w:rPr>
          <w:sz w:val="20"/>
          <w:szCs w:val="20"/>
          <w:color w:val="auto"/>
        </w:rPr>
      </w:pPr>
    </w:p>
    <w:p>
      <w:pPr>
        <w:spacing w:after="0" w:line="346" w:lineRule="exact"/>
        <w:rPr>
          <w:sz w:val="20"/>
          <w:szCs w:val="20"/>
          <w:color w:val="auto"/>
        </w:rPr>
      </w:pPr>
    </w:p>
    <w:p>
      <w:pPr>
        <w:ind w:left="5480"/>
        <w:spacing w:after="0"/>
        <w:tabs>
          <w:tab w:leader="none" w:pos="59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31115</wp:posOffset>
            </wp:positionV>
            <wp:extent cx="24650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2465070" cy="8255"/>
                    </a:xfrm>
                    <a:prstGeom prst="rect">
                      <a:avLst/>
                    </a:prstGeom>
                    <a:noFill/>
                  </pic:spPr>
                </pic:pic>
              </a:graphicData>
            </a:graphic>
          </wp:anchor>
        </w:drawing>
      </w:r>
    </w:p>
    <w:p>
      <w:pPr>
        <w:spacing w:after="0" w:line="3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Robert Carter</w:t>
      </w:r>
    </w:p>
    <w:p>
      <w:pPr>
        <w:spacing w:after="0" w:line="2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w:t>
      </w:r>
    </w:p>
    <w:p>
      <w:pPr>
        <w:ind w:left="5920"/>
        <w:spacing w:after="0"/>
        <w:rPr>
          <w:sz w:val="20"/>
          <w:szCs w:val="20"/>
          <w:color w:val="auto"/>
        </w:rPr>
      </w:pPr>
      <w:r>
        <w:rPr>
          <w:rFonts w:ascii="Times New Roman" w:cs="Times New Roman" w:eastAsia="Times New Roman" w:hAnsi="Times New Roman"/>
          <w:sz w:val="18"/>
          <w:szCs w:val="18"/>
          <w:i w:val="1"/>
          <w:iCs w:val="1"/>
          <w:color w:val="auto"/>
        </w:rPr>
        <w:t>Officer)</w:t>
      </w:r>
    </w:p>
    <w:p>
      <w:pPr>
        <w:sectPr>
          <w:pgSz w:w="11900" w:h="16838" w:orient="portrait"/>
          <w:cols w:equalWidth="0" w:num="1">
            <w:col w:w="10960"/>
          </w:cols>
          <w:pgMar w:left="320" w:top="110" w:right="61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RULE 13a-14(a)/15d-14(a) CERTIFICATION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Virnich, certify that:</w:t>
      </w:r>
    </w:p>
    <w:p>
      <w:pPr>
        <w:spacing w:after="0" w:line="11" w:lineRule="exact"/>
        <w:rPr>
          <w:sz w:val="20"/>
          <w:szCs w:val="20"/>
          <w:color w:val="auto"/>
        </w:rPr>
      </w:pPr>
    </w:p>
    <w:p>
      <w:pPr>
        <w:ind w:left="560" w:hanging="317"/>
        <w:spacing w:after="0"/>
        <w:tabs>
          <w:tab w:leader="none" w:pos="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Starling Oncology, Inc.;</w:t>
      </w:r>
    </w:p>
    <w:p>
      <w:pPr>
        <w:spacing w:after="0" w:line="208" w:lineRule="exact"/>
        <w:rPr>
          <w:rFonts w:ascii="Times New Roman" w:cs="Times New Roman" w:eastAsia="Times New Roman" w:hAnsi="Times New Roman"/>
          <w:sz w:val="18"/>
          <w:szCs w:val="18"/>
          <w:color w:val="auto"/>
        </w:rPr>
      </w:pPr>
    </w:p>
    <w:p>
      <w:pPr>
        <w:jc w:val="both"/>
        <w:ind w:left="480" w:hanging="237"/>
        <w:spacing w:after="0" w:line="267" w:lineRule="auto"/>
        <w:tabs>
          <w:tab w:leader="none" w:pos="61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7"/>
          <w:szCs w:val="17"/>
          <w:color w:val="auto"/>
        </w:rPr>
      </w:pPr>
    </w:p>
    <w:p>
      <w:pPr>
        <w:ind w:left="480" w:hanging="237"/>
        <w:spacing w:after="0" w:line="254" w:lineRule="auto"/>
        <w:tabs>
          <w:tab w:leader="none" w:pos="6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Times New Roman" w:cs="Times New Roman" w:eastAsia="Times New Roman" w:hAnsi="Times New Roman"/>
          <w:sz w:val="18"/>
          <w:szCs w:val="18"/>
          <w:color w:val="auto"/>
        </w:rPr>
      </w:pPr>
    </w:p>
    <w:p>
      <w:pPr>
        <w:jc w:val="both"/>
        <w:ind w:left="480" w:hanging="237"/>
        <w:spacing w:after="0" w:line="242" w:lineRule="auto"/>
        <w:tabs>
          <w:tab w:leader="none" w:pos="66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Times New Roman" w:cs="Times New Roman" w:eastAsia="Times New Roman" w:hAnsi="Times New Roman"/>
          <w:sz w:val="18"/>
          <w:szCs w:val="18"/>
          <w:color w:val="auto"/>
        </w:rPr>
      </w:pPr>
    </w:p>
    <w:p>
      <w:pPr>
        <w:jc w:val="both"/>
        <w:ind w:left="960" w:hanging="321"/>
        <w:spacing w:after="0" w:line="242" w:lineRule="auto"/>
        <w:tabs>
          <w:tab w:leader="none" w:pos="105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8"/>
          <w:szCs w:val="18"/>
          <w:color w:val="auto"/>
        </w:rPr>
      </w:pPr>
    </w:p>
    <w:p>
      <w:pPr>
        <w:jc w:val="both"/>
        <w:ind w:left="960" w:hanging="321"/>
        <w:spacing w:after="0" w:line="242" w:lineRule="auto"/>
        <w:tabs>
          <w:tab w:leader="none" w:pos="11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5" w:lineRule="exact"/>
        <w:rPr>
          <w:rFonts w:ascii="Times New Roman" w:cs="Times New Roman" w:eastAsia="Times New Roman" w:hAnsi="Times New Roman"/>
          <w:sz w:val="18"/>
          <w:szCs w:val="18"/>
          <w:color w:val="auto"/>
        </w:rPr>
      </w:pPr>
    </w:p>
    <w:p>
      <w:pPr>
        <w:ind w:left="960" w:hanging="321"/>
        <w:spacing w:after="0" w:line="239" w:lineRule="auto"/>
        <w:tabs>
          <w:tab w:leader="none" w:pos="115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18"/>
          <w:szCs w:val="18"/>
          <w:color w:val="auto"/>
        </w:rPr>
      </w:pPr>
    </w:p>
    <w:p>
      <w:pPr>
        <w:jc w:val="both"/>
        <w:ind w:left="960" w:hanging="321"/>
        <w:spacing w:after="0" w:line="242" w:lineRule="auto"/>
        <w:tabs>
          <w:tab w:leader="none" w:pos="10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8"/>
          <w:szCs w:val="18"/>
          <w:color w:val="auto"/>
        </w:rPr>
      </w:pPr>
    </w:p>
    <w:p>
      <w:pPr>
        <w:ind w:left="480" w:hanging="237"/>
        <w:spacing w:after="0" w:line="254" w:lineRule="auto"/>
        <w:tabs>
          <w:tab w:leader="none" w:pos="60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18"/>
          <w:szCs w:val="18"/>
          <w:color w:val="auto"/>
        </w:rPr>
      </w:pPr>
    </w:p>
    <w:p>
      <w:pPr>
        <w:ind w:left="960" w:hanging="321"/>
        <w:spacing w:after="0" w:line="254" w:lineRule="auto"/>
        <w:tabs>
          <w:tab w:leader="none" w:pos="103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960" w:hanging="321"/>
        <w:spacing w:after="0" w:line="254" w:lineRule="auto"/>
        <w:tabs>
          <w:tab w:leader="none" w:pos="103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231F20"/>
        </w:rPr>
        <w:t>November 5, 2026</w:t>
      </w:r>
    </w:p>
    <w:p>
      <w:pPr>
        <w:sectPr>
          <w:pgSz w:w="11900" w:h="16838" w:orient="portrait"/>
          <w:cols w:equalWidth="0" w:num="1">
            <w:col w:w="11240"/>
          </w:cols>
          <w:pgMar w:left="320" w:top="137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/s/ Daniel Virnich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wp:posOffset>
            </wp:positionV>
            <wp:extent cx="31775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317754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Virnich</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ectPr>
          <w:pgSz w:w="11900" w:h="16838" w:orient="portrait"/>
          <w:cols w:equalWidth="0" w:num="1">
            <w:col w:w="10119"/>
          </w:cols>
          <w:pgMar w:left="340" w:top="1428"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RULE 13a-14(a)/15d-14(a) CERTIFICATION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Carter, certify that:</w:t>
      </w:r>
    </w:p>
    <w:p>
      <w:pPr>
        <w:spacing w:after="0" w:line="229" w:lineRule="exact"/>
        <w:rPr>
          <w:sz w:val="20"/>
          <w:szCs w:val="20"/>
          <w:color w:val="auto"/>
        </w:rPr>
      </w:pPr>
    </w:p>
    <w:p>
      <w:pPr>
        <w:ind w:left="560" w:hanging="317"/>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September 30, 2026 of Starling Oncology, Inc.;</w:t>
      </w:r>
    </w:p>
    <w:p>
      <w:pPr>
        <w:spacing w:after="0" w:line="228" w:lineRule="exact"/>
        <w:rPr>
          <w:rFonts w:ascii="Times New Roman" w:cs="Times New Roman" w:eastAsia="Times New Roman" w:hAnsi="Times New Roman"/>
          <w:sz w:val="18"/>
          <w:szCs w:val="18"/>
          <w:color w:val="auto"/>
        </w:rPr>
      </w:pPr>
    </w:p>
    <w:p>
      <w:pPr>
        <w:jc w:val="both"/>
        <w:ind w:left="480" w:hanging="237"/>
        <w:spacing w:after="0" w:line="267" w:lineRule="auto"/>
        <w:tabs>
          <w:tab w:leader="none" w:pos="61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7"/>
          <w:szCs w:val="17"/>
          <w:color w:val="auto"/>
        </w:rPr>
      </w:pPr>
    </w:p>
    <w:p>
      <w:pPr>
        <w:ind w:left="480" w:hanging="237"/>
        <w:spacing w:after="0" w:line="254" w:lineRule="auto"/>
        <w:tabs>
          <w:tab w:leader="none" w:pos="6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Times New Roman" w:cs="Times New Roman" w:eastAsia="Times New Roman" w:hAnsi="Times New Roman"/>
          <w:sz w:val="18"/>
          <w:szCs w:val="18"/>
          <w:color w:val="auto"/>
        </w:rPr>
      </w:pPr>
    </w:p>
    <w:p>
      <w:pPr>
        <w:jc w:val="both"/>
        <w:ind w:left="480" w:hanging="237"/>
        <w:spacing w:after="0" w:line="242" w:lineRule="auto"/>
        <w:tabs>
          <w:tab w:leader="none" w:pos="6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5" w:lineRule="exact"/>
        <w:rPr>
          <w:rFonts w:ascii="Times New Roman" w:cs="Times New Roman" w:eastAsia="Times New Roman" w:hAnsi="Times New Roman"/>
          <w:sz w:val="18"/>
          <w:szCs w:val="18"/>
          <w:color w:val="auto"/>
        </w:rPr>
      </w:pPr>
    </w:p>
    <w:p>
      <w:pPr>
        <w:jc w:val="both"/>
        <w:ind w:left="960" w:hanging="321"/>
        <w:spacing w:after="0" w:line="242" w:lineRule="auto"/>
        <w:tabs>
          <w:tab w:leader="none" w:pos="10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8"/>
          <w:szCs w:val="18"/>
          <w:color w:val="auto"/>
        </w:rPr>
      </w:pPr>
    </w:p>
    <w:p>
      <w:pPr>
        <w:jc w:val="both"/>
        <w:ind w:left="960" w:hanging="321"/>
        <w:spacing w:after="0" w:line="242" w:lineRule="auto"/>
        <w:tabs>
          <w:tab w:leader="none" w:pos="113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205" w:lineRule="exact"/>
        <w:rPr>
          <w:rFonts w:ascii="Times New Roman" w:cs="Times New Roman" w:eastAsia="Times New Roman" w:hAnsi="Times New Roman"/>
          <w:sz w:val="18"/>
          <w:szCs w:val="18"/>
          <w:color w:val="auto"/>
        </w:rPr>
      </w:pPr>
    </w:p>
    <w:p>
      <w:pPr>
        <w:ind w:left="960" w:hanging="321"/>
        <w:spacing w:after="0" w:line="239" w:lineRule="auto"/>
        <w:tabs>
          <w:tab w:leader="none" w:pos="11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Times New Roman" w:cs="Times New Roman" w:eastAsia="Times New Roman" w:hAnsi="Times New Roman"/>
          <w:sz w:val="18"/>
          <w:szCs w:val="18"/>
          <w:color w:val="auto"/>
        </w:rPr>
      </w:pPr>
    </w:p>
    <w:p>
      <w:pPr>
        <w:jc w:val="both"/>
        <w:ind w:left="960" w:hanging="321"/>
        <w:spacing w:after="0" w:line="242" w:lineRule="auto"/>
        <w:tabs>
          <w:tab w:leader="none" w:pos="10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8"/>
          <w:szCs w:val="18"/>
          <w:color w:val="auto"/>
        </w:rPr>
      </w:pPr>
    </w:p>
    <w:p>
      <w:pPr>
        <w:ind w:left="480" w:hanging="237"/>
        <w:spacing w:after="0" w:line="254" w:lineRule="auto"/>
        <w:tabs>
          <w:tab w:leader="none" w:pos="6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Times New Roman" w:cs="Times New Roman" w:eastAsia="Times New Roman" w:hAnsi="Times New Roman"/>
          <w:sz w:val="18"/>
          <w:szCs w:val="18"/>
          <w:color w:val="auto"/>
        </w:rPr>
      </w:pPr>
    </w:p>
    <w:p>
      <w:pPr>
        <w:ind w:left="960" w:hanging="321"/>
        <w:spacing w:after="0" w:line="254" w:lineRule="auto"/>
        <w:tabs>
          <w:tab w:leader="none" w:pos="103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Times New Roman" w:cs="Times New Roman" w:eastAsia="Times New Roman" w:hAnsi="Times New Roman"/>
          <w:sz w:val="18"/>
          <w:szCs w:val="18"/>
          <w:color w:val="auto"/>
        </w:rPr>
      </w:pPr>
    </w:p>
    <w:p>
      <w:pPr>
        <w:ind w:left="960" w:hanging="321"/>
        <w:spacing w:after="0" w:line="254" w:lineRule="auto"/>
        <w:tabs>
          <w:tab w:leader="none" w:pos="103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2" w:lineRule="exact"/>
        <w:rPr>
          <w:sz w:val="20"/>
          <w:szCs w:val="20"/>
          <w:color w:val="auto"/>
        </w:rPr>
      </w:pPr>
    </w:p>
    <w:p>
      <w:pPr>
        <w:ind w:left="20"/>
        <w:spacing w:after="0"/>
        <w:tabs>
          <w:tab w:leader="none" w:pos="1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231F20"/>
        </w:rPr>
        <w:t>November 5, 2026</w:t>
      </w:r>
    </w:p>
    <w:p>
      <w:pPr>
        <w:sectPr>
          <w:pgSz w:w="11900" w:h="16838" w:orient="portrait"/>
          <w:cols w:equalWidth="0" w:num="1">
            <w:col w:w="11240"/>
          </w:cols>
          <w:pgMar w:left="320" w:top="137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/s/ Robert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31115</wp:posOffset>
            </wp:positionV>
            <wp:extent cx="3186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Carter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ectPr>
          <w:pgSz w:w="11900" w:h="16838" w:orient="portrait"/>
          <w:cols w:equalWidth="0" w:num="1">
            <w:col w:w="10119"/>
          </w:cols>
          <w:pgMar w:left="340" w:top="1428"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jc w:val="center"/>
        <w:spacing w:after="0" w:line="230" w:lineRule="auto"/>
        <w:rPr>
          <w:sz w:val="20"/>
          <w:szCs w:val="20"/>
          <w:color w:val="auto"/>
        </w:rPr>
      </w:pPr>
      <w:r>
        <w:rPr>
          <w:rFonts w:ascii="Times New Roman" w:cs="Times New Roman" w:eastAsia="Times New Roman" w:hAnsi="Times New Roman"/>
          <w:sz w:val="18"/>
          <w:szCs w:val="18"/>
          <w:b w:val="1"/>
          <w:bCs w:val="1"/>
          <w:color w:val="auto"/>
        </w:rPr>
        <w:t>of the Sarbanes-Oxley Act of 2002</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9" w:lineRule="exact"/>
        <w:rPr>
          <w:sz w:val="20"/>
          <w:szCs w:val="20"/>
          <w:color w:val="auto"/>
        </w:rPr>
      </w:pPr>
    </w:p>
    <w:p>
      <w:pPr>
        <w:jc w:val="both"/>
        <w:ind w:firstLine="436"/>
        <w:spacing w:after="0" w:line="236" w:lineRule="auto"/>
        <w:rPr>
          <w:sz w:val="20"/>
          <w:szCs w:val="20"/>
          <w:color w:val="auto"/>
        </w:rPr>
      </w:pPr>
      <w:r>
        <w:rPr>
          <w:rFonts w:ascii="Times New Roman" w:cs="Times New Roman" w:eastAsia="Times New Roman" w:hAnsi="Times New Roman"/>
          <w:sz w:val="18"/>
          <w:szCs w:val="18"/>
          <w:color w:val="auto"/>
        </w:rPr>
        <w:t>In connection with the Quarterly Report of Starling Oncology, Inc. (the “Company”) on Form 10-Q for the period ended September 30, 2026, as filed with the Securities and Exchange Commission on the date hereof (the “Report”), I, Daniel Virnich, Chief Executive Officer of the Company, certify, pursuant to 18 U.S.C. Section 1350, as adopted pursuant to Section 906 of the Sarbanes-Oxley Act of 2002, that, to my knowledge:</w:t>
      </w:r>
    </w:p>
    <w:p>
      <w:pPr>
        <w:spacing w:after="0" w:line="248" w:lineRule="exact"/>
        <w:rPr>
          <w:sz w:val="20"/>
          <w:szCs w:val="20"/>
          <w:color w:val="auto"/>
        </w:rPr>
      </w:pPr>
    </w:p>
    <w:p>
      <w:pPr>
        <w:ind w:left="540" w:hanging="297"/>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8"/>
          <w:szCs w:val="18"/>
          <w:color w:val="auto"/>
        </w:rPr>
      </w:pPr>
    </w:p>
    <w:p>
      <w:pPr>
        <w:ind w:left="440" w:right="480" w:hanging="197"/>
        <w:spacing w:after="0" w:line="530" w:lineRule="auto"/>
        <w:tabs>
          <w:tab w:leader="none" w:pos="5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In witness whereof, the undersigned has executed and delivered this certificate as of the date set forth opposite his signature below.</w:t>
      </w:r>
    </w:p>
    <w:p>
      <w:pPr>
        <w:spacing w:after="0" w:line="37" w:lineRule="exact"/>
        <w:rPr>
          <w:sz w:val="20"/>
          <w:szCs w:val="20"/>
          <w:color w:val="auto"/>
        </w:rPr>
      </w:pPr>
    </w:p>
    <w:p>
      <w:pPr>
        <w:ind w:left="20"/>
        <w:spacing w:after="0"/>
        <w:tabs>
          <w:tab w:leader="none" w:pos="1660" w:val="left"/>
          <w:tab w:leader="none" w:pos="54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231F20"/>
        </w:rPr>
        <w:t>November 5, 2026</w:t>
      </w:r>
      <w:r>
        <w:rPr>
          <w:sz w:val="20"/>
          <w:szCs w:val="20"/>
          <w:color w:val="auto"/>
        </w:rPr>
        <w:tab/>
      </w:r>
      <w:r>
        <w:rPr>
          <w:rFonts w:ascii="Times New Roman" w:cs="Times New Roman" w:eastAsia="Times New Roman" w:hAnsi="Times New Roman"/>
          <w:sz w:val="17"/>
          <w:szCs w:val="17"/>
          <w:color w:val="auto"/>
        </w:rPr>
        <w:t>/s/ Daniel Virnich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39370</wp:posOffset>
            </wp:positionV>
            <wp:extent cx="3194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3194685" cy="8255"/>
                    </a:xfrm>
                    <a:prstGeom prst="rect">
                      <a:avLst/>
                    </a:prstGeom>
                    <a:noFill/>
                  </pic:spPr>
                </pic:pic>
              </a:graphicData>
            </a:graphic>
          </wp:anchor>
        </w:drawing>
      </w:r>
    </w:p>
    <w:p>
      <w:pPr>
        <w:spacing w:after="0" w:line="5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Daniel Virnich</w:t>
      </w:r>
    </w:p>
    <w:p>
      <w:pPr>
        <w:spacing w:after="0" w:line="1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Exchange Commission or its staff upon request.</w:t>
      </w:r>
    </w:p>
    <w:p>
      <w:pPr>
        <w:sectPr>
          <w:pgSz w:w="11900" w:h="16838" w:orient="portrait"/>
          <w:cols w:equalWidth="0" w:num="1">
            <w:col w:w="11240"/>
          </w:cols>
          <w:pgMar w:left="320" w:top="1374"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jc w:val="center"/>
        <w:spacing w:after="0" w:line="230" w:lineRule="auto"/>
        <w:rPr>
          <w:sz w:val="20"/>
          <w:szCs w:val="20"/>
          <w:color w:val="auto"/>
        </w:rPr>
      </w:pPr>
      <w:r>
        <w:rPr>
          <w:rFonts w:ascii="Times New Roman" w:cs="Times New Roman" w:eastAsia="Times New Roman" w:hAnsi="Times New Roman"/>
          <w:sz w:val="18"/>
          <w:szCs w:val="18"/>
          <w:b w:val="1"/>
          <w:bCs w:val="1"/>
          <w:color w:val="auto"/>
        </w:rPr>
        <w:t>of the Sarbanes-Oxley Act of 2002</w:t>
      </w: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9" w:lineRule="exact"/>
        <w:rPr>
          <w:sz w:val="20"/>
          <w:szCs w:val="20"/>
          <w:color w:val="auto"/>
        </w:rPr>
      </w:pPr>
    </w:p>
    <w:p>
      <w:pPr>
        <w:ind w:firstLine="436"/>
        <w:spacing w:after="0" w:line="247" w:lineRule="auto"/>
        <w:rPr>
          <w:sz w:val="20"/>
          <w:szCs w:val="20"/>
          <w:color w:val="auto"/>
        </w:rPr>
      </w:pPr>
      <w:r>
        <w:rPr>
          <w:rFonts w:ascii="Times New Roman" w:cs="Times New Roman" w:eastAsia="Times New Roman" w:hAnsi="Times New Roman"/>
          <w:sz w:val="17"/>
          <w:szCs w:val="17"/>
          <w:color w:val="auto"/>
        </w:rPr>
        <w:t>In connection with the Quarterly Report of Starling Oncology, Inc. (the “Company”) on Form 10-Q for the period ended September 30, 2026, as filed with the Securities and Exchange Commission on the date hereof (the “Report”), I, Robert Carter, Chief Financial Officer of the Company, certify, pursuant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 as adopted pursuant to Section 906 of the Sarbanes-Oxley Act of 2002, that, to my knowledge:</w:t>
      </w:r>
    </w:p>
    <w:p>
      <w:pPr>
        <w:spacing w:after="0" w:line="209" w:lineRule="exact"/>
        <w:rPr>
          <w:sz w:val="20"/>
          <w:szCs w:val="20"/>
          <w:color w:val="auto"/>
        </w:rPr>
      </w:pPr>
    </w:p>
    <w:p>
      <w:pPr>
        <w:ind w:left="420" w:hanging="177"/>
        <w:spacing w:after="0"/>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8"/>
          <w:szCs w:val="18"/>
          <w:color w:val="auto"/>
        </w:rPr>
      </w:pPr>
    </w:p>
    <w:p>
      <w:pPr>
        <w:ind w:left="440" w:right="600" w:hanging="197"/>
        <w:spacing w:after="0" w:line="575" w:lineRule="auto"/>
        <w:tabs>
          <w:tab w:leader="none" w:pos="41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In witness whereof, the undersigned has executed and delivered this certificate as of the date set forth opposite his signature below.</w:t>
      </w:r>
    </w:p>
    <w:p>
      <w:pPr>
        <w:spacing w:after="0" w:line="14" w:lineRule="exact"/>
        <w:rPr>
          <w:sz w:val="20"/>
          <w:szCs w:val="20"/>
          <w:color w:val="auto"/>
        </w:rPr>
      </w:pPr>
    </w:p>
    <w:p>
      <w:pPr>
        <w:ind w:left="20"/>
        <w:spacing w:after="0"/>
        <w:tabs>
          <w:tab w:leader="none" w:pos="1660" w:val="left"/>
          <w:tab w:leader="none" w:pos="56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231F20"/>
        </w:rPr>
        <w:t>November 5, 2026</w:t>
      </w:r>
      <w:r>
        <w:rPr>
          <w:sz w:val="20"/>
          <w:szCs w:val="20"/>
          <w:color w:val="auto"/>
        </w:rPr>
        <w:tab/>
      </w:r>
      <w:r>
        <w:rPr>
          <w:rFonts w:ascii="Times New Roman" w:cs="Times New Roman" w:eastAsia="Times New Roman" w:hAnsi="Times New Roman"/>
          <w:sz w:val="17"/>
          <w:szCs w:val="17"/>
          <w:color w:val="auto"/>
        </w:rPr>
        <w:t>/s/ Robert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31115</wp:posOffset>
            </wp:positionV>
            <wp:extent cx="3194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3194685" cy="8255"/>
                    </a:xfrm>
                    <a:prstGeom prst="rect">
                      <a:avLst/>
                    </a:prstGeom>
                    <a:noFill/>
                  </pic:spPr>
                </pic:pic>
              </a:graphicData>
            </a:graphic>
          </wp:anchor>
        </w:drawing>
      </w:r>
    </w:p>
    <w:p>
      <w:pPr>
        <w:spacing w:after="0" w:line="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Carter</w:t>
      </w:r>
    </w:p>
    <w:p>
      <w:pPr>
        <w:spacing w:after="0" w:line="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75" w:lineRule="exact"/>
        <w:rPr>
          <w:sz w:val="20"/>
          <w:szCs w:val="20"/>
          <w:color w:val="auto"/>
        </w:rPr>
      </w:pPr>
    </w:p>
    <w:p>
      <w:pPr>
        <w:jc w:val="both"/>
        <w:ind w:firstLine="436"/>
        <w:spacing w:after="0" w:line="273"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Exchange Commission or its staff upon request.</w:t>
      </w:r>
    </w:p>
    <w:sectPr>
      <w:pgSz w:w="11900" w:h="16838" w:orient="portrait"/>
      <w:cols w:equalWidth="0" w:num="1">
        <w:col w:w="11240"/>
      </w:cols>
      <w:pgMar w:left="320" w:top="13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5"/>
    </w:lvl>
  </w:abstractNum>
  <w:abstractNum w:abstractNumId="3">
    <w:nsid w:val="1190CDE7"/>
    <w:multiLevelType w:val="hybridMultilevel"/>
    <w:lvl w:ilvl="0">
      <w:lvlJc w:val="left"/>
      <w:lvlText w:val="(%1)"/>
      <w:numFmt w:val="upperLetter"/>
      <w:start w:val="1"/>
    </w:lvl>
  </w:abstractNum>
  <w:abstractNum w:abstractNumId="4">
    <w:nsid w:val="66EF438D"/>
    <w:multiLevelType w:val="hybridMultilevel"/>
    <w:lvl w:ilvl="0">
      <w:lvlJc w:val="left"/>
      <w:lvlText w:val="(%1)"/>
      <w:numFmt w:val="lowerRoman"/>
      <w:start w:val="3"/>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2"/>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81" Type="http://schemas.openxmlformats.org/officeDocument/2006/relationships/hyperlink" Target="https://www.sec.gov/Archives/edgar/data/1799191/000110465921141302/tm2133107d1_ex3-1.htm" TargetMode="External"/><Relationship Id="rId82" Type="http://schemas.openxmlformats.org/officeDocument/2006/relationships/hyperlink" Target="https://www.sec.gov/Archives/edgar/data/1799191/000107997326000997/ex3x1.htm" TargetMode="External"/><Relationship Id="rId83" Type="http://schemas.openxmlformats.org/officeDocument/2006/relationships/hyperlink" Target="https://www.sec.gov/Archives/edgar/data/1799191/000110465921141302/tm2133107d1_ex3-2.htm" TargetMode="External"/><Relationship Id="rId84" Type="http://schemas.openxmlformats.org/officeDocument/2006/relationships/hyperlink" Target="https://www.sec.gov/Archives/edgar/data/1799191/000110465921142621/tm2133107d2_ex3-3.htm" TargetMode="External"/><Relationship Id="rId85" Type="http://schemas.openxmlformats.org/officeDocument/2006/relationships/hyperlink" Target="https://www.sec.gov/Archives/edgar/data/1799191/000107997325000460/ex3x1.htm" TargetMode="External"/><Relationship Id="rId86" Type="http://schemas.openxmlformats.org/officeDocument/2006/relationships/hyperlink" Target="https://www.sec.gov/Archives/edgar/data/1799191/000107997325000460/ex3x2.htm" TargetMode="External"/><Relationship Id="rId87" Type="http://schemas.openxmlformats.org/officeDocument/2006/relationships/hyperlink" Target="https://www.sec.gov/Archives/edgar/data/1799191/000110465920032909/tm201723d6_ex4-1.htm" TargetMode="External"/><Relationship Id="rId88" Type="http://schemas.openxmlformats.org/officeDocument/2006/relationships/hyperlink" Target="https://www.sec.gov/Archives/edgar/data/1799191/000110465921142621/tm2133107d2_ex4-2.htm" TargetMode="External"/><Relationship Id="rId89" Type="http://schemas.openxmlformats.org/officeDocument/2006/relationships/hyperlink" Target="https://www.sec.gov/Archives/edgar/data/1799191/000162828022022087/a41-formofseniorconvertibl.htm" TargetMode="External"/><Relationship Id="rId90" Type="http://schemas.openxmlformats.org/officeDocument/2006/relationships/hyperlink" Target="https://www.sec.gov/Archives/edgar/data/1799191/000162828022022087/a42formofwarrant.htm" TargetMode="External"/><Relationship Id="rId91" Type="http://schemas.openxmlformats.org/officeDocument/2006/relationships/hyperlink" Target="https://www.sec.gov/Archives/edgar/data/1799191/000107997325000460/ex4x1.htm" TargetMode="External"/><Relationship Id="rId92" Type="http://schemas.openxmlformats.org/officeDocument/2006/relationships/hyperlink" Target="https://www.sec.gov/Archives/edgar/data/1799191/000107997325000460/ex4x2.htm" TargetMode="External"/><Relationship Id="rId93" Type="http://schemas.openxmlformats.org/officeDocument/2006/relationships/hyperlink" Target="https://www.sec.gov/Archives/edgar/data/1799191/000107997325000460/ex4x3.htm" TargetMode="External"/><Relationship Id="rId94" Type="http://schemas.openxmlformats.org/officeDocument/2006/relationships/hyperlink" Target="https://www.sec.gov/Archives/edgar/data/1799191/000107997326000934/ex10x1.htm" TargetMode="External"/><Relationship Id="rId95" Type="http://schemas.openxmlformats.org/officeDocument/2006/relationships/hyperlink" Target="https://www.sec.gov/Archives/edgar/data/1799191/000107997326000934/ex10x2.htm" TargetMode="External"/><Relationship Id="rId96" Type="http://schemas.openxmlformats.org/officeDocument/2006/relationships/hyperlink" Target="https://www.sec.gov/Archives/edgar/data/1799191/000107997326001169/ex10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2026-11-06T05:19:26Z</dcterms:created>
  <dcterms:modified xsi:type="dcterms:W3CDTF">2026-11-06T05:19:26Z</dcterms:modified>
</cp:coreProperties>
</file>