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ind w:left="224" w:right="0" w:hanging="0"/>
        <w:jc w:val="left"/>
        <w:rPr>
          <w:caps w:val="false"/>
          <w:smallCaps w:val="false"/>
        </w:rPr>
      </w:pPr>
      <w:bookmarkStart w:id="0" w:name="stln_8k.htm"/>
      <w:bookmarkStart w:id="1" w:name="ksstln_8k"/>
      <w:bookmarkEnd w:id="0"/>
      <w:bookmarkEnd w:id="1"/>
      <w:r>
        <w:rPr>
          <w:caps w:val="false"/>
          <w:smallCaps w:val="false"/>
        </w:rPr>
        <w:t> </w:t>
      </w:r>
    </w:p>
    <w:p>
      <w:pPr>
        <w:pStyle w:val="TextBody"/>
        <w:bidi w:val="0"/>
        <w:spacing w:before="60" w:after="240"/>
        <w:jc w:val="left"/>
        <w:rPr>
          <w:bdr w:val="single" w:sz="16" w:space="1" w:color="000000"/>
        </w:rPr>
      </w:pPr>
      <w:r>
        <w:rPr>
          <w:bdr w:val="single" w:sz="16" w:space="1" w:color="000000"/>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B_edei--DocumentType_c20260901__20"/>
      <w:bookmarkEnd w:id="2"/>
      <w:r>
        <w:rPr>
          <w:rFonts w:ascii="Times New Roman;Times;Serif" w:hAnsi="Times New Roman;Times;Serif"/>
          <w:b/>
          <w:i w:val="false"/>
          <w:caps w:val="false"/>
          <w:smallCaps w:val="false"/>
          <w:sz w:val="28"/>
        </w:rPr>
        <w:t>8-K</w:t>
      </w:r>
    </w:p>
    <w:p>
      <w:pPr>
        <w:pStyle w:val="TextBody"/>
        <w:bidi w:val="0"/>
        <w:jc w:val="center"/>
        <w:rPr>
          <w:rFonts w:ascii="Times New Roman;Times;Serif" w:hAnsi="Times New Roman;Times;Serif"/>
          <w:b/>
          <w:i w:val="false"/>
          <w:caps w:val="false"/>
          <w:smallCaps w:val="false"/>
          <w:sz w:val="12"/>
        </w:rPr>
      </w:pPr>
      <w:r>
        <w:rPr>
          <w:rFonts w:ascii="Times New Roman;Times;Serif" w:hAnsi="Times New Roman;Times;Serif"/>
          <w:b/>
          <w:i w:val="false"/>
          <w:caps w:val="false"/>
          <w:smallCaps w:val="false"/>
          <w:sz w:val="12"/>
        </w:rPr>
        <w:t>__________________________________________________________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1, 2026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4_edei--EntityRegistrantName_c2026"/>
      <w:bookmarkEnd w:id="4"/>
      <w:r>
        <w:rPr>
          <w:rFonts w:ascii="Times New Roman;Times;Serif" w:hAnsi="Times New Roman;Times;Serif"/>
          <w:b/>
          <w:i w:val="false"/>
          <w:caps w:val="false"/>
          <w:smallCaps w:val="false"/>
          <w:sz w:val="32"/>
        </w:rPr>
        <w:t xml:space="preserve">STARLING ONCOLOGY, INC.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0_edei--EntityFileNumber_c20260901"/>
            <w:bookmarkEnd w:id="6"/>
            <w:r>
              <w:rPr>
                <w:b/>
                <w:sz w:val="20"/>
              </w:rPr>
              <w:t>001-39248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4_edei--EntityTaxIdentificationNum"/>
            <w:bookmarkEnd w:id="7"/>
            <w:r>
              <w:rPr>
                <w:b/>
                <w:sz w:val="20"/>
              </w:rPr>
              <w:t>84-3562323</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4130"/>
        <w:gridCol w:w="60"/>
        <w:gridCol w:w="920"/>
      </w:tblGrid>
      <w:tr>
        <w:trPr/>
        <w:tc>
          <w:tcPr>
            <w:tcW w:w="4130" w:type="dxa"/>
            <w:tcBorders>
              <w:bottom w:val="single" w:sz="12" w:space="0" w:color="000000"/>
            </w:tcBorders>
            <w:vAlign w:val="center"/>
          </w:tcPr>
          <w:p>
            <w:pPr>
              <w:pStyle w:val="TableContents"/>
              <w:bidi w:val="0"/>
              <w:spacing w:before="0" w:after="283"/>
              <w:jc w:val="center"/>
              <w:rPr>
                <w:b/>
                <w:sz w:val="20"/>
              </w:rPr>
            </w:pPr>
            <w:bookmarkStart w:id="8" w:name="xdx_909_edei--EntityAddressAddressLine1_"/>
            <w:bookmarkEnd w:id="8"/>
            <w:r>
              <w:rPr>
                <w:b/>
                <w:sz w:val="20"/>
              </w:rPr>
              <w:t xml:space="preserve">18000 Studebaker Road, </w:t>
            </w:r>
            <w:bookmarkStart w:id="9" w:name="xdx_907_edei--EntityAddressAddressLine2_"/>
            <w:bookmarkEnd w:id="9"/>
            <w:r>
              <w:rPr>
                <w:b/>
                <w:sz w:val="20"/>
              </w:rPr>
              <w:t xml:space="preserve">Suite 800, </w:t>
            </w:r>
            <w:bookmarkStart w:id="10" w:name="xdx_905_edei--EntityAddressCityOrTown_c2"/>
            <w:bookmarkEnd w:id="10"/>
            <w:r>
              <w:rPr>
                <w:b/>
                <w:sz w:val="20"/>
              </w:rPr>
              <w:t xml:space="preserve">Cerritos, </w:t>
            </w:r>
            <w:bookmarkStart w:id="11" w:name="xdx_90A_edei--EntityAddressStateOrProvin"/>
            <w:bookmarkEnd w:id="11"/>
            <w:r>
              <w:rPr>
                <w:b/>
                <w:sz w:val="20"/>
              </w:rPr>
              <w:t xml:space="preserve">CA </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8_edei--EntityAddressPostalZipCode"/>
            <w:bookmarkEnd w:id="12"/>
            <w:r>
              <w:rPr>
                <w:b/>
                <w:sz w:val="20"/>
              </w:rPr>
              <w:t>90703</w:t>
            </w:r>
          </w:p>
        </w:tc>
      </w:tr>
      <w:tr>
        <w:trPr/>
        <w:tc>
          <w:tcPr>
            <w:tcW w:w="413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3_edei--CityAreaCode_c20260901__20"/>
      <w:bookmarkEnd w:id="13"/>
      <w:r>
        <w:rPr>
          <w:rFonts w:ascii="Times New Roman;Times;Serif" w:hAnsi="Times New Roman;Times;Serif"/>
          <w:b/>
          <w:i w:val="false"/>
          <w:caps w:val="false"/>
          <w:smallCaps w:val="false"/>
          <w:sz w:val="20"/>
          <w:shd w:fill="FFFFFF" w:val="clear"/>
        </w:rPr>
        <w:t xml:space="preserve">(562) </w:t>
      </w:r>
      <w:bookmarkStart w:id="14" w:name="xdx_90C_edei--LocalPhoneNumber_c20260901"/>
      <w:bookmarkEnd w:id="14"/>
      <w:r>
        <w:rPr>
          <w:rFonts w:ascii="Times New Roman;Times;Serif" w:hAnsi="Times New Roman;Times;Serif"/>
          <w:b/>
          <w:i w:val="false"/>
          <w:caps w:val="false"/>
          <w:smallCaps w:val="false"/>
          <w:sz w:val="20"/>
          <w:shd w:fill="FFFFFF" w:val="clear"/>
        </w:rPr>
        <w:t>735-3226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bookmarkStart w:id="15" w:name="xdx_90F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 pursuant to Rule 425 under the Securities Act (17 CFR 230.425)</w:t>
      </w:r>
    </w:p>
    <w:p>
      <w:pPr>
        <w:pStyle w:val="TextBody"/>
        <w:bidi w:val="0"/>
        <w:jc w:val="left"/>
        <w:rPr>
          <w:caps w:val="false"/>
          <w:smallCaps w:val="false"/>
        </w:rPr>
      </w:pPr>
      <w:bookmarkStart w:id="16" w:name="xdx_908_edei--SolicitingMaterial_c202609"/>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jc w:val="left"/>
        <w:rPr>
          <w:caps w:val="false"/>
          <w:smallCaps w:val="false"/>
        </w:rPr>
      </w:pPr>
      <w:bookmarkStart w:id="17" w:name="xdx_90A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14d-2(b) under the Exchange Act (17 CFR 240.14d-2(b))</w:t>
      </w:r>
    </w:p>
    <w:p>
      <w:pPr>
        <w:pStyle w:val="TextBody"/>
        <w:bidi w:val="0"/>
        <w:jc w:val="left"/>
        <w:rPr>
          <w:caps w:val="false"/>
          <w:smallCaps w:val="false"/>
        </w:rPr>
      </w:pPr>
      <w:bookmarkStart w:id="18" w:name="xdx_90A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13e-4(c) under the Exchange Act (17 CFR 240.13e-4(c))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98"/>
        <w:gridCol w:w="60"/>
        <w:gridCol w:w="1219"/>
        <w:gridCol w:w="60"/>
        <w:gridCol w:w="2468"/>
      </w:tblGrid>
      <w:tr>
        <w:trPr/>
        <w:tc>
          <w:tcPr>
            <w:tcW w:w="6398"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19"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68"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6398" w:type="dxa"/>
            <w:tcBorders/>
            <w:shd w:fill="CCEEFF" w:val="clear"/>
            <w:tcMar>
              <w:bottom w:w="0" w:type="dxa"/>
            </w:tcMar>
            <w:vAlign w:val="center"/>
          </w:tcPr>
          <w:p>
            <w:pPr>
              <w:pStyle w:val="TableContents"/>
              <w:bidi w:val="0"/>
              <w:spacing w:before="0" w:after="283"/>
              <w:jc w:val="center"/>
              <w:rPr>
                <w:sz w:val="20"/>
              </w:rPr>
            </w:pPr>
            <w:bookmarkStart w:id="19" w:name="xdx_905_edei--Security12bTitle_c20260901"/>
            <w:bookmarkEnd w:id="19"/>
            <w:r>
              <w:rPr>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center"/>
              <w:rPr>
                <w:sz w:val="20"/>
              </w:rPr>
            </w:pPr>
            <w:bookmarkStart w:id="20" w:name="xdx_90D_edei--TradingSymbol_c20260901__2"/>
            <w:bookmarkEnd w:id="20"/>
            <w:r>
              <w:rPr>
                <w:sz w:val="20"/>
              </w:rPr>
              <w:t>STLN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8" w:type="dxa"/>
            <w:tcBorders/>
            <w:shd w:fill="CCEEFF" w:val="clear"/>
            <w:tcMar>
              <w:bottom w:w="0" w:type="dxa"/>
            </w:tcMar>
            <w:vAlign w:val="center"/>
          </w:tcPr>
          <w:p>
            <w:pPr>
              <w:pStyle w:val="TableContents"/>
              <w:bidi w:val="0"/>
              <w:spacing w:before="0" w:after="283"/>
              <w:jc w:val="center"/>
              <w:rPr>
                <w:sz w:val="20"/>
              </w:rPr>
            </w:pPr>
            <w:bookmarkStart w:id="21" w:name="xdx_904_edei--SecurityExchangeName_c2026"/>
            <w:bookmarkEnd w:id="21"/>
            <w:r>
              <w:rPr>
                <w:sz w:val="20"/>
              </w:rPr>
              <w:t>The Nasdaq Stock Market LLC</w:t>
            </w:r>
          </w:p>
        </w:tc>
      </w:tr>
      <w:tr>
        <w:trPr/>
        <w:tc>
          <w:tcPr>
            <w:tcW w:w="6398" w:type="dxa"/>
            <w:tcBorders/>
            <w:shd w:fill="FFFFFF" w:val="clear"/>
            <w:tcMar>
              <w:bottom w:w="0" w:type="dxa"/>
            </w:tcMar>
            <w:vAlign w:val="center"/>
          </w:tcPr>
          <w:p>
            <w:pPr>
              <w:pStyle w:val="TableContents"/>
              <w:bidi w:val="0"/>
              <w:spacing w:before="0" w:after="283"/>
              <w:jc w:val="center"/>
              <w:rPr>
                <w:sz w:val="20"/>
              </w:rPr>
            </w:pPr>
            <w:bookmarkStart w:id="22" w:name="xdx_904_edei--Security12bTitle_c20260901"/>
            <w:bookmarkEnd w:id="22"/>
            <w:r>
              <w:rPr>
                <w:sz w:val="20"/>
              </w:rPr>
              <w:t xml:space="preserve">Redeemable warrants, each whole warrant exercisable for one share of Common stock, each at an exercise price of $11.50 per share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center"/>
              <w:rPr>
                <w:sz w:val="20"/>
              </w:rPr>
            </w:pPr>
            <w:bookmarkStart w:id="23" w:name="xdx_90C_edei--TradingSymbol_c20260901__2"/>
            <w:bookmarkEnd w:id="23"/>
            <w:r>
              <w:rPr>
                <w:sz w:val="20"/>
              </w:rPr>
              <w:t>TOIIW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8" w:type="dxa"/>
            <w:tcBorders/>
            <w:shd w:fill="FFFFFF" w:val="clear"/>
            <w:tcMar>
              <w:bottom w:w="0" w:type="dxa"/>
            </w:tcMar>
            <w:vAlign w:val="center"/>
          </w:tcPr>
          <w:p>
            <w:pPr>
              <w:pStyle w:val="TableContents"/>
              <w:bidi w:val="0"/>
              <w:spacing w:before="0" w:after="283"/>
              <w:jc w:val="center"/>
              <w:rPr>
                <w:sz w:val="20"/>
              </w:rPr>
            </w:pPr>
            <w:bookmarkStart w:id="24" w:name="xdx_906_edei--SecurityExchangeName_c2026"/>
            <w:bookmarkEnd w:id="24"/>
            <w:r>
              <w:rPr>
                <w:sz w:val="20"/>
              </w:rPr>
              <w:t>The Nasdaq Stock Market LLC</w:t>
            </w:r>
          </w:p>
        </w:tc>
      </w:tr>
    </w:tbl>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9_edei--EntityEmergingGrowthCompan"/>
      <w:bookmarkEnd w:id="25"/>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2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Brad Hively notified Starling Oncology, Inc. (the “Company”) of his decision to not stand for re-election to the Board of the Directors of the Company (the “Board”) at its 2027 annual meeting of stockholders (the “Annual Meeting”). Mr. Hively is expected to continue to serve as a director of the Company until the Annual Meeting, but effective immediately, will no longer serve as Vice Chairman of the Board or as a member of the Compliance Committee or any other committees of the Board. Mr. Hively’s decision not to stand for re-election is not the result of any disagreement between the Company and him on any matter relating to Company’s operations, policies or practices.</w:t>
      </w:r>
    </w:p>
    <w:p>
      <w:pPr>
        <w:pStyle w:val="TextBody"/>
        <w:bidi w:val="0"/>
        <w:spacing w:before="120" w:after="120"/>
        <w:ind w:left="0" w:right="0" w:hanging="0"/>
        <w:jc w:val="both"/>
        <w:rPr>
          <w:caps w:val="false"/>
          <w:smallCaps w:val="false"/>
        </w:rPr>
      </w:pPr>
      <w:r>
        <w:rPr>
          <w:caps w:val="false"/>
          <w:smallCaps w:val="false"/>
        </w:rPr>
        <w:t> </w:t>
      </w:r>
    </w:p>
    <w:p>
      <w:pPr>
        <w:pStyle w:val="TextBody"/>
        <w:bidi w:val="0"/>
        <w:spacing w:before="0" w:after="2"/>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SIGNATURE</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5904" w:type="dxa"/>
        <w:jc w:val="left"/>
        <w:tblInd w:w="0" w:type="dxa"/>
        <w:tblLayout w:type="fixed"/>
        <w:tblCellMar>
          <w:top w:w="0" w:type="dxa"/>
          <w:left w:w="0" w:type="dxa"/>
          <w:bottom w:w="0" w:type="dxa"/>
          <w:right w:w="0" w:type="dxa"/>
        </w:tblCellMar>
      </w:tblPr>
      <w:tblGrid>
        <w:gridCol w:w="2495"/>
        <w:gridCol w:w="1037"/>
        <w:gridCol w:w="2372"/>
      </w:tblGrid>
      <w:tr>
        <w:trPr/>
        <w:tc>
          <w:tcPr>
            <w:tcW w:w="2495" w:type="dxa"/>
            <w:tcBorders/>
            <w:vAlign w:val="center"/>
          </w:tcPr>
          <w:p>
            <w:pPr>
              <w:pStyle w:val="TableContents"/>
              <w:bidi w:val="0"/>
              <w:spacing w:before="0" w:after="283"/>
              <w:jc w:val="left"/>
              <w:rPr/>
            </w:pPr>
            <w:r>
              <w:rPr/>
              <w:t>Dated: September 1, 2026</w:t>
            </w:r>
          </w:p>
        </w:tc>
        <w:tc>
          <w:tcPr>
            <w:tcW w:w="3409" w:type="dxa"/>
            <w:gridSpan w:val="2"/>
            <w:tcBorders/>
            <w:vAlign w:val="center"/>
          </w:tcPr>
          <w:p>
            <w:pPr>
              <w:pStyle w:val="TableContents"/>
              <w:bidi w:val="0"/>
              <w:spacing w:before="0" w:after="283"/>
              <w:jc w:val="left"/>
              <w:rPr>
                <w:b/>
              </w:rPr>
            </w:pPr>
            <w:r>
              <w:rPr>
                <w:b/>
              </w:rPr>
              <w:t>STARLING ONCOLOGY, INC.</w:t>
            </w:r>
          </w:p>
        </w:tc>
      </w:tr>
      <w:tr>
        <w:trPr/>
        <w:tc>
          <w:tcPr>
            <w:tcW w:w="2495"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By:</w:t>
            </w:r>
          </w:p>
        </w:tc>
        <w:tc>
          <w:tcPr>
            <w:tcW w:w="2372" w:type="dxa"/>
            <w:tcBorders>
              <w:bottom w:val="single" w:sz="8" w:space="0" w:color="000000"/>
            </w:tcBorders>
            <w:tcMar>
              <w:bottom w:w="28" w:type="dxa"/>
            </w:tcMar>
            <w:vAlign w:val="center"/>
          </w:tcPr>
          <w:p>
            <w:pPr>
              <w:pStyle w:val="TableContents"/>
              <w:bidi w:val="0"/>
              <w:spacing w:before="0" w:after="283"/>
              <w:jc w:val="left"/>
              <w:rPr/>
            </w:pPr>
            <w:r>
              <w:rPr/>
              <w:t>/s/ Minh Merchant</w:t>
            </w:r>
          </w:p>
        </w:tc>
      </w:tr>
      <w:tr>
        <w:trPr/>
        <w:tc>
          <w:tcPr>
            <w:tcW w:w="2495"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Name:  </w:t>
            </w:r>
          </w:p>
        </w:tc>
        <w:tc>
          <w:tcPr>
            <w:tcW w:w="2372" w:type="dxa"/>
            <w:tcBorders/>
            <w:vAlign w:val="center"/>
          </w:tcPr>
          <w:p>
            <w:pPr>
              <w:pStyle w:val="TableContents"/>
              <w:bidi w:val="0"/>
              <w:spacing w:before="0" w:after="283"/>
              <w:jc w:val="left"/>
              <w:rPr/>
            </w:pPr>
            <w:r>
              <w:rPr/>
              <w:t xml:space="preserve">Minh Merchant </w:t>
            </w:r>
          </w:p>
        </w:tc>
      </w:tr>
      <w:tr>
        <w:trPr/>
        <w:tc>
          <w:tcPr>
            <w:tcW w:w="2495"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Title:</w:t>
            </w:r>
          </w:p>
        </w:tc>
        <w:tc>
          <w:tcPr>
            <w:tcW w:w="237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w:t>
            </w:r>
          </w:p>
        </w:tc>
      </w:tr>
    </w:tbl>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12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505</Words>
  <Characters>2879</Characters>
  <CharactersWithSpaces>3383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