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STOLPER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18000 STUDEBAKER ROAD, SUITE 800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CERRITOS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Oncology Institute, Inc.</w:t>
              </w:r>
            </w:hyperlink>
            <w:r>
              <w:rPr/>
              <w:t xml:space="preserve"> [ </w:t>
            </w:r>
            <w:r>
              <w:rPr>
                <w:rFonts w:ascii="Times;serif" w:hAnsi="Times;serif"/>
                <w:color w:val="0000FF"/>
                <w:sz w:val="24"/>
                <w:shd w:fill="FFFFFF" w:val="clear"/>
              </w:rPr>
              <w:t>TOI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31,124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56,957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(RSUs), each of which entitle the Reporting Person to receive one share of the Issuer's common stock upon settlement. The RSUs vest in full on the date of the Issuer's 2027 annual meeting of stockholders, subject to the Reporting Person's continued service with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Hueppelsheuser, Attorney-in-fact for Mark Stolper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1961" TargetMode="External"/><Relationship Id="rId5" Type="http://schemas.openxmlformats.org/officeDocument/2006/relationships/hyperlink" Target="http://www.sec.gov/cgi-bin/browse-edgar?action=getcompany&amp;CIK=0001799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3366</Characters>
  <CharactersWithSpaces>3919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