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42"/>
        <w:ind w:left="224" w:right="0" w:hanging="0"/>
        <w:jc w:val="left"/>
        <w:rPr>
          <w:caps w:val="false"/>
          <w:smallCaps w:val="false"/>
        </w:rPr>
      </w:pPr>
      <w:bookmarkStart w:id="0" w:name="stln_8k.htm"/>
      <w:bookmarkStart w:id="1" w:name="ksstln_8k"/>
      <w:bookmarkEnd w:id="0"/>
      <w:bookmarkEnd w:id="1"/>
      <w:r>
        <w:rPr>
          <w:caps w:val="false"/>
          <w:smallCaps w:val="false"/>
        </w:rPr>
        <w:t> </w:t>
      </w:r>
    </w:p>
    <w:p>
      <w:pPr>
        <w:pStyle w:val="TextBody"/>
        <w:bidi w:val="0"/>
        <w:spacing w:before="60" w:after="240"/>
        <w:jc w:val="left"/>
        <w:rPr>
          <w:bdr w:val="single" w:sz="16" w:space="1" w:color="000000"/>
        </w:rPr>
      </w:pPr>
      <w:r>
        <w:rPr>
          <w:bdr w:val="single" w:sz="16" w:space="1" w:color="000000"/>
        </w:rPr>
        <w:t> </w:t>
      </w:r>
    </w:p>
    <w:p>
      <w:pPr>
        <w:pStyle w:val="TextBody"/>
        <w:bidi w:val="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UNITED STATES</w:t>
      </w:r>
    </w:p>
    <w:p>
      <w:pPr>
        <w:pStyle w:val="TextBody"/>
        <w:bidi w:val="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SECURITIES AND EXCHANGE COMMISSION</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___________________________________</w:t>
      </w:r>
    </w:p>
    <w:p>
      <w:pPr>
        <w:pStyle w:val="TextBody"/>
        <w:bidi w:val="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 xml:space="preserve">Form </w:t>
      </w:r>
      <w:bookmarkStart w:id="2" w:name="xdx_90C_edei--DocumentType_c20260806__20"/>
      <w:bookmarkEnd w:id="2"/>
      <w:r>
        <w:rPr>
          <w:rFonts w:ascii="Times New Roman;Times;Serif" w:hAnsi="Times New Roman;Times;Serif"/>
          <w:b/>
          <w:i w:val="false"/>
          <w:caps w:val="false"/>
          <w:smallCaps w:val="false"/>
          <w:sz w:val="28"/>
        </w:rPr>
        <w:t>8-K</w:t>
      </w:r>
    </w:p>
    <w:p>
      <w:pPr>
        <w:pStyle w:val="TextBody"/>
        <w:bidi w:val="0"/>
        <w:jc w:val="center"/>
        <w:rPr>
          <w:rFonts w:ascii="Times New Roman;Times;Serif" w:hAnsi="Times New Roman;Times;Serif"/>
          <w:b/>
          <w:i w:val="false"/>
          <w:caps w:val="false"/>
          <w:smallCaps w:val="false"/>
          <w:sz w:val="12"/>
        </w:rPr>
      </w:pPr>
      <w:r>
        <w:rPr>
          <w:rFonts w:ascii="Times New Roman;Times;Serif" w:hAnsi="Times New Roman;Times;Serif"/>
          <w:b/>
          <w:i w:val="false"/>
          <w:caps w:val="false"/>
          <w:smallCaps w:val="false"/>
          <w:sz w:val="12"/>
        </w:rPr>
        <w:t>__________________________________________________________</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Section 13 or 15(d)</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 the Securities Exchange Act of 1934</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Date of Report (Date of earliest event reported)  </w:t>
      </w:r>
      <w:bookmarkStart w:id="3" w:name="xdx_90B_edei--DocumentPeriodEndDate_c202"/>
      <w:bookmarkEnd w:id="3"/>
      <w:r>
        <w:rPr>
          <w:rFonts w:ascii="Times New Roman;Times;Serif" w:hAnsi="Times New Roman;Times;Serif"/>
          <w:b/>
          <w:i w:val="false"/>
          <w:caps w:val="false"/>
          <w:smallCaps w:val="false"/>
          <w:sz w:val="20"/>
        </w:rPr>
        <w:t>August 6, 2026</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___________________________________</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32"/>
        </w:rPr>
      </w:pPr>
      <w:bookmarkStart w:id="4" w:name="xdx_909_edei--EntityRegistrantName_c2026"/>
      <w:bookmarkEnd w:id="4"/>
      <w:r>
        <w:rPr>
          <w:rFonts w:ascii="Times New Roman;Times;Serif" w:hAnsi="Times New Roman;Times;Serif"/>
          <w:b/>
          <w:i w:val="false"/>
          <w:caps w:val="false"/>
          <w:smallCaps w:val="false"/>
          <w:sz w:val="32"/>
        </w:rPr>
        <w:t xml:space="preserve">STARLING ONCOLOGY, INC. </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___________________________________</w:t>
      </w:r>
    </w:p>
    <w:p>
      <w:pPr>
        <w:pStyle w:val="TextBody"/>
        <w:bidi w:val="0"/>
        <w:jc w:val="center"/>
        <w:rPr>
          <w:caps w:val="false"/>
          <w:smallCaps w:val="false"/>
        </w:rPr>
      </w:pPr>
      <w:r>
        <w:rPr>
          <w:caps w:val="false"/>
          <w:smallCaps w:val="false"/>
        </w:rPr>
        <w:t> </w:t>
      </w:r>
    </w:p>
    <w:tbl>
      <w:tblPr>
        <w:tblW w:w="6030" w:type="dxa"/>
        <w:jc w:val="left"/>
        <w:tblInd w:w="0" w:type="dxa"/>
        <w:tblLayout w:type="fixed"/>
        <w:tblCellMar>
          <w:top w:w="0" w:type="dxa"/>
          <w:left w:w="0" w:type="dxa"/>
          <w:bottom w:w="28" w:type="dxa"/>
          <w:right w:w="0" w:type="dxa"/>
        </w:tblCellMar>
      </w:tblPr>
      <w:tblGrid>
        <w:gridCol w:w="2165"/>
        <w:gridCol w:w="60"/>
        <w:gridCol w:w="2210"/>
        <w:gridCol w:w="60"/>
        <w:gridCol w:w="1535"/>
      </w:tblGrid>
      <w:tr>
        <w:trPr/>
        <w:tc>
          <w:tcPr>
            <w:tcW w:w="2165" w:type="dxa"/>
            <w:tcBorders>
              <w:bottom w:val="single" w:sz="12" w:space="0" w:color="000000"/>
            </w:tcBorders>
            <w:vAlign w:val="center"/>
          </w:tcPr>
          <w:p>
            <w:pPr>
              <w:pStyle w:val="TableContents"/>
              <w:bidi w:val="0"/>
              <w:spacing w:before="0" w:after="283"/>
              <w:jc w:val="center"/>
              <w:rPr>
                <w:b/>
                <w:sz w:val="20"/>
              </w:rPr>
            </w:pPr>
            <w:bookmarkStart w:id="5" w:name="xdx_901_edei--EntityIncorporationStateCo"/>
            <w:bookmarkEnd w:id="5"/>
            <w:r>
              <w:rPr>
                <w:b/>
                <w:sz w:val="20"/>
              </w:rPr>
              <w:t>Delaware</w:t>
            </w:r>
          </w:p>
        </w:tc>
        <w:tc>
          <w:tcPr>
            <w:tcW w:w="60" w:type="dxa"/>
            <w:tcBorders/>
            <w:tcMar>
              <w:bottom w:w="0" w:type="dxa"/>
            </w:tcMar>
            <w:vAlign w:val="center"/>
          </w:tcPr>
          <w:p>
            <w:pPr>
              <w:pStyle w:val="TableContents"/>
              <w:bidi w:val="0"/>
              <w:spacing w:before="0" w:after="283"/>
              <w:jc w:val="center"/>
              <w:rPr/>
            </w:pPr>
            <w:r>
              <w:rPr/>
              <w:t> </w:t>
            </w:r>
          </w:p>
        </w:tc>
        <w:tc>
          <w:tcPr>
            <w:tcW w:w="2210" w:type="dxa"/>
            <w:tcBorders>
              <w:bottom w:val="single" w:sz="12" w:space="0" w:color="000000"/>
            </w:tcBorders>
            <w:vAlign w:val="center"/>
          </w:tcPr>
          <w:p>
            <w:pPr>
              <w:pStyle w:val="TableContents"/>
              <w:bidi w:val="0"/>
              <w:spacing w:before="0" w:after="283"/>
              <w:jc w:val="center"/>
              <w:rPr>
                <w:b/>
                <w:sz w:val="20"/>
              </w:rPr>
            </w:pPr>
            <w:bookmarkStart w:id="6" w:name="xdx_90D_edei--EntityFileNumber_c20260806"/>
            <w:bookmarkEnd w:id="6"/>
            <w:r>
              <w:rPr>
                <w:b/>
                <w:sz w:val="20"/>
              </w:rPr>
              <w:t>001-39248</w:t>
            </w:r>
          </w:p>
        </w:tc>
        <w:tc>
          <w:tcPr>
            <w:tcW w:w="60" w:type="dxa"/>
            <w:tcBorders/>
            <w:tcMar>
              <w:bottom w:w="0" w:type="dxa"/>
            </w:tcMar>
            <w:vAlign w:val="center"/>
          </w:tcPr>
          <w:p>
            <w:pPr>
              <w:pStyle w:val="TableContents"/>
              <w:bidi w:val="0"/>
              <w:spacing w:before="0" w:after="283"/>
              <w:jc w:val="center"/>
              <w:rPr/>
            </w:pPr>
            <w:r>
              <w:rPr/>
              <w:t> </w:t>
            </w:r>
          </w:p>
        </w:tc>
        <w:tc>
          <w:tcPr>
            <w:tcW w:w="1535" w:type="dxa"/>
            <w:tcBorders>
              <w:bottom w:val="single" w:sz="12" w:space="0" w:color="000000"/>
            </w:tcBorders>
            <w:vAlign w:val="center"/>
          </w:tcPr>
          <w:p>
            <w:pPr>
              <w:pStyle w:val="TableContents"/>
              <w:bidi w:val="0"/>
              <w:spacing w:before="0" w:after="283"/>
              <w:jc w:val="center"/>
              <w:rPr>
                <w:b/>
                <w:sz w:val="20"/>
              </w:rPr>
            </w:pPr>
            <w:bookmarkStart w:id="7" w:name="xdx_90A_edei--EntityTaxIdentificationNum"/>
            <w:bookmarkEnd w:id="7"/>
            <w:r>
              <w:rPr>
                <w:b/>
                <w:sz w:val="20"/>
              </w:rPr>
              <w:t>84-3562323</w:t>
            </w:r>
          </w:p>
        </w:tc>
      </w:tr>
      <w:tr>
        <w:trPr/>
        <w:tc>
          <w:tcPr>
            <w:tcW w:w="2165" w:type="dxa"/>
            <w:tcBorders/>
            <w:tcMar>
              <w:bottom w:w="0" w:type="dxa"/>
            </w:tcMar>
            <w:vAlign w:val="center"/>
          </w:tcPr>
          <w:p>
            <w:pPr>
              <w:pStyle w:val="TableContents"/>
              <w:bidi w:val="0"/>
              <w:spacing w:before="0" w:after="283"/>
              <w:jc w:val="center"/>
              <w:rPr>
                <w:sz w:val="20"/>
              </w:rPr>
            </w:pPr>
            <w:r>
              <w:rPr>
                <w:sz w:val="20"/>
              </w:rPr>
              <w:t>(State or other jurisdiction</w:t>
              <w:br/>
              <w:t>of incorporation)</w:t>
            </w:r>
          </w:p>
        </w:tc>
        <w:tc>
          <w:tcPr>
            <w:tcW w:w="60" w:type="dxa"/>
            <w:tcBorders/>
            <w:tcMar>
              <w:bottom w:w="0" w:type="dxa"/>
            </w:tcMar>
            <w:vAlign w:val="center"/>
          </w:tcPr>
          <w:p>
            <w:pPr>
              <w:pStyle w:val="TableContents"/>
              <w:bidi w:val="0"/>
              <w:spacing w:before="0" w:after="283"/>
              <w:jc w:val="center"/>
              <w:rPr/>
            </w:pPr>
            <w:r>
              <w:rPr/>
              <w:t> </w:t>
            </w:r>
          </w:p>
        </w:tc>
        <w:tc>
          <w:tcPr>
            <w:tcW w:w="2210" w:type="dxa"/>
            <w:tcBorders/>
            <w:tcMar>
              <w:bottom w:w="0" w:type="dxa"/>
            </w:tcMar>
            <w:vAlign w:val="center"/>
          </w:tcPr>
          <w:p>
            <w:pPr>
              <w:pStyle w:val="TableContents"/>
              <w:bidi w:val="0"/>
              <w:spacing w:before="0" w:after="283"/>
              <w:jc w:val="center"/>
              <w:rPr>
                <w:sz w:val="20"/>
              </w:rPr>
            </w:pPr>
            <w:r>
              <w:rPr>
                <w:sz w:val="20"/>
              </w:rPr>
              <w:t>(Commission File Number)</w:t>
            </w:r>
          </w:p>
        </w:tc>
        <w:tc>
          <w:tcPr>
            <w:tcW w:w="60" w:type="dxa"/>
            <w:tcBorders/>
            <w:tcMar>
              <w:bottom w:w="0" w:type="dxa"/>
            </w:tcMar>
            <w:vAlign w:val="center"/>
          </w:tcPr>
          <w:p>
            <w:pPr>
              <w:pStyle w:val="TableContents"/>
              <w:bidi w:val="0"/>
              <w:spacing w:before="0" w:after="283"/>
              <w:jc w:val="center"/>
              <w:rPr/>
            </w:pPr>
            <w:r>
              <w:rPr/>
              <w:t> </w:t>
            </w:r>
          </w:p>
        </w:tc>
        <w:tc>
          <w:tcPr>
            <w:tcW w:w="1535" w:type="dxa"/>
            <w:tcBorders/>
            <w:tcMar>
              <w:bottom w:w="0" w:type="dxa"/>
            </w:tcMar>
            <w:vAlign w:val="center"/>
          </w:tcPr>
          <w:p>
            <w:pPr>
              <w:pStyle w:val="TableContents"/>
              <w:bidi w:val="0"/>
              <w:spacing w:before="0" w:after="283"/>
              <w:jc w:val="center"/>
              <w:rPr>
                <w:sz w:val="20"/>
              </w:rPr>
            </w:pPr>
            <w:r>
              <w:rPr>
                <w:sz w:val="20"/>
              </w:rPr>
              <w:t>(I.R.S. Employer</w:t>
              <w:br/>
              <w:t>Identification No.)</w:t>
            </w:r>
          </w:p>
        </w:tc>
      </w:tr>
    </w:tbl>
    <w:p>
      <w:pPr>
        <w:pStyle w:val="TextBody"/>
        <w:bidi w:val="0"/>
        <w:jc w:val="center"/>
        <w:rPr>
          <w:caps w:val="false"/>
          <w:smallCaps w:val="false"/>
        </w:rPr>
      </w:pPr>
      <w:r>
        <w:rPr>
          <w:caps w:val="false"/>
          <w:smallCaps w:val="false"/>
        </w:rPr>
        <w:t> </w:t>
      </w:r>
    </w:p>
    <w:tbl>
      <w:tblPr>
        <w:tblW w:w="5110" w:type="dxa"/>
        <w:jc w:val="left"/>
        <w:tblInd w:w="0" w:type="dxa"/>
        <w:tblLayout w:type="fixed"/>
        <w:tblCellMar>
          <w:top w:w="0" w:type="dxa"/>
          <w:left w:w="0" w:type="dxa"/>
          <w:bottom w:w="28" w:type="dxa"/>
          <w:right w:w="0" w:type="dxa"/>
        </w:tblCellMar>
      </w:tblPr>
      <w:tblGrid>
        <w:gridCol w:w="4130"/>
        <w:gridCol w:w="60"/>
        <w:gridCol w:w="920"/>
      </w:tblGrid>
      <w:tr>
        <w:trPr/>
        <w:tc>
          <w:tcPr>
            <w:tcW w:w="4130" w:type="dxa"/>
            <w:tcBorders>
              <w:bottom w:val="single" w:sz="12" w:space="0" w:color="000000"/>
            </w:tcBorders>
            <w:vAlign w:val="center"/>
          </w:tcPr>
          <w:p>
            <w:pPr>
              <w:pStyle w:val="TableContents"/>
              <w:bidi w:val="0"/>
              <w:spacing w:before="0" w:after="283"/>
              <w:jc w:val="center"/>
              <w:rPr>
                <w:b/>
                <w:sz w:val="20"/>
              </w:rPr>
            </w:pPr>
            <w:bookmarkStart w:id="8" w:name="xdx_90B_edei--EntityAddressAddressLine1_"/>
            <w:bookmarkEnd w:id="8"/>
            <w:r>
              <w:rPr>
                <w:b/>
                <w:sz w:val="20"/>
              </w:rPr>
              <w:t xml:space="preserve">18000 Studebaker Road, </w:t>
            </w:r>
            <w:bookmarkStart w:id="9" w:name="xdx_908_edei--EntityAddressAddressLine2_"/>
            <w:bookmarkEnd w:id="9"/>
            <w:r>
              <w:rPr>
                <w:b/>
                <w:sz w:val="20"/>
              </w:rPr>
              <w:t xml:space="preserve">Suite 800, </w:t>
            </w:r>
            <w:bookmarkStart w:id="10" w:name="xdx_90D_edei--EntityAddressCityOrTown_c2"/>
            <w:bookmarkEnd w:id="10"/>
            <w:r>
              <w:rPr>
                <w:b/>
                <w:sz w:val="20"/>
              </w:rPr>
              <w:t xml:space="preserve">Cerritos, </w:t>
            </w:r>
            <w:bookmarkStart w:id="11" w:name="xdx_905_edei--EntityAddressStateOrProvin"/>
            <w:bookmarkEnd w:id="11"/>
            <w:r>
              <w:rPr>
                <w:b/>
                <w:sz w:val="20"/>
              </w:rPr>
              <w:t xml:space="preserve">CA </w:t>
            </w:r>
          </w:p>
        </w:tc>
        <w:tc>
          <w:tcPr>
            <w:tcW w:w="60" w:type="dxa"/>
            <w:tcBorders/>
            <w:tcMar>
              <w:bottom w:w="0" w:type="dxa"/>
            </w:tcMar>
            <w:vAlign w:val="center"/>
          </w:tcPr>
          <w:p>
            <w:pPr>
              <w:pStyle w:val="TableContents"/>
              <w:bidi w:val="0"/>
              <w:spacing w:before="0" w:after="283"/>
              <w:jc w:val="center"/>
              <w:rPr/>
            </w:pPr>
            <w:r>
              <w:rPr/>
              <w:t> </w:t>
            </w:r>
          </w:p>
        </w:tc>
        <w:tc>
          <w:tcPr>
            <w:tcW w:w="920" w:type="dxa"/>
            <w:tcBorders>
              <w:bottom w:val="single" w:sz="12" w:space="0" w:color="000000"/>
            </w:tcBorders>
            <w:vAlign w:val="center"/>
          </w:tcPr>
          <w:p>
            <w:pPr>
              <w:pStyle w:val="TableContents"/>
              <w:bidi w:val="0"/>
              <w:spacing w:before="0" w:after="283"/>
              <w:jc w:val="center"/>
              <w:rPr>
                <w:b/>
                <w:sz w:val="20"/>
              </w:rPr>
            </w:pPr>
            <w:bookmarkStart w:id="12" w:name="xdx_90D_edei--EntityAddressPostalZipCode"/>
            <w:bookmarkEnd w:id="12"/>
            <w:r>
              <w:rPr>
                <w:b/>
                <w:sz w:val="20"/>
              </w:rPr>
              <w:t>90703</w:t>
            </w:r>
          </w:p>
        </w:tc>
      </w:tr>
      <w:tr>
        <w:trPr/>
        <w:tc>
          <w:tcPr>
            <w:tcW w:w="4130" w:type="dxa"/>
            <w:tcBorders/>
            <w:tcMar>
              <w:bottom w:w="0" w:type="dxa"/>
            </w:tcMar>
            <w:vAlign w:val="center"/>
          </w:tcPr>
          <w:p>
            <w:pPr>
              <w:pStyle w:val="TableContents"/>
              <w:bidi w:val="0"/>
              <w:spacing w:before="0" w:after="283"/>
              <w:jc w:val="center"/>
              <w:rPr>
                <w:sz w:val="20"/>
              </w:rPr>
            </w:pPr>
            <w:r>
              <w:rPr>
                <w:sz w:val="20"/>
              </w:rPr>
              <w:t>(Address of principal executive offices)</w:t>
            </w:r>
          </w:p>
        </w:tc>
        <w:tc>
          <w:tcPr>
            <w:tcW w:w="60" w:type="dxa"/>
            <w:tcBorders/>
            <w:tcMar>
              <w:bottom w:w="0" w:type="dxa"/>
            </w:tcMar>
            <w:vAlign w:val="center"/>
          </w:tcPr>
          <w:p>
            <w:pPr>
              <w:pStyle w:val="TableContents"/>
              <w:bidi w:val="0"/>
              <w:spacing w:before="0" w:after="283"/>
              <w:jc w:val="center"/>
              <w:rPr/>
            </w:pPr>
            <w:r>
              <w:rPr/>
              <w:t> </w:t>
            </w:r>
          </w:p>
        </w:tc>
        <w:tc>
          <w:tcPr>
            <w:tcW w:w="920" w:type="dxa"/>
            <w:tcBorders/>
            <w:tcMar>
              <w:bottom w:w="0" w:type="dxa"/>
            </w:tcMar>
            <w:vAlign w:val="center"/>
          </w:tcPr>
          <w:p>
            <w:pPr>
              <w:pStyle w:val="TableContents"/>
              <w:bidi w:val="0"/>
              <w:spacing w:before="0" w:after="283"/>
              <w:jc w:val="center"/>
              <w:rPr>
                <w:sz w:val="20"/>
              </w:rPr>
            </w:pPr>
            <w:r>
              <w:rPr>
                <w:sz w:val="20"/>
              </w:rPr>
              <w:t>(Zip Code)</w:t>
            </w:r>
          </w:p>
        </w:tc>
      </w:tr>
    </w:tbl>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Registrant’s telephone number, including area code:  </w:t>
      </w:r>
      <w:bookmarkStart w:id="13" w:name="xdx_903_edei--CityAreaCode_c20260806__20"/>
      <w:bookmarkEnd w:id="13"/>
      <w:r>
        <w:rPr>
          <w:rFonts w:ascii="Times New Roman;Times;Serif" w:hAnsi="Times New Roman;Times;Serif"/>
          <w:b/>
          <w:i w:val="false"/>
          <w:caps w:val="false"/>
          <w:smallCaps w:val="false"/>
          <w:sz w:val="20"/>
          <w:shd w:fill="FFFFFF" w:val="clear"/>
        </w:rPr>
        <w:t xml:space="preserve">(562) </w:t>
      </w:r>
      <w:bookmarkStart w:id="14" w:name="xdx_90B_edei--LocalPhoneNumber_c20260806"/>
      <w:bookmarkEnd w:id="14"/>
      <w:r>
        <w:rPr>
          <w:rFonts w:ascii="Times New Roman;Times;Serif" w:hAnsi="Times New Roman;Times;Serif"/>
          <w:b/>
          <w:i w:val="false"/>
          <w:caps w:val="false"/>
          <w:smallCaps w:val="false"/>
          <w:sz w:val="20"/>
          <w:shd w:fill="FFFFFF" w:val="clear"/>
        </w:rPr>
        <w:t>735-3226</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bookmarkStart w:id="15" w:name="xdx_90A_edei--EntityInformationFormerLeg"/>
      <w:bookmarkEnd w:id="15"/>
      <w:r>
        <w:rPr>
          <w:rFonts w:ascii="Times New Roman;Times;Serif" w:hAnsi="Times New Roman;Times;Serif"/>
          <w:b/>
          <w:i w:val="false"/>
          <w:caps w:val="false"/>
          <w:smallCaps w:val="false"/>
          <w:sz w:val="20"/>
        </w:rPr>
        <w:t xml:space="preserve">THE ONCOLOGY INSTITUTE, INC. </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(Former name or former address, if changed since last report)</w:t>
      </w:r>
    </w:p>
    <w:p>
      <w:pPr>
        <w:pStyle w:val="TextBody"/>
        <w:bidi w:val="0"/>
        <w:jc w:val="center"/>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Check the appropriate box below if the Form 8-K filing is intended to simultaneously satisfy the filing obligation of the registrant under any of the following provisions:</w:t>
      </w:r>
    </w:p>
    <w:p>
      <w:pPr>
        <w:pStyle w:val="TextBody"/>
        <w:bidi w:val="0"/>
        <w:jc w:val="both"/>
        <w:rPr>
          <w:caps w:val="false"/>
          <w:smallCaps w:val="false"/>
        </w:rPr>
      </w:pPr>
      <w:r>
        <w:rPr>
          <w:caps w:val="false"/>
          <w:smallCaps w:val="false"/>
        </w:rPr>
        <w:t> </w:t>
      </w:r>
    </w:p>
    <w:p>
      <w:pPr>
        <w:pStyle w:val="TextBody"/>
        <w:bidi w:val="0"/>
        <w:jc w:val="left"/>
        <w:rPr>
          <w:caps w:val="false"/>
          <w:smallCaps w:val="false"/>
        </w:rPr>
      </w:pPr>
      <w:bookmarkStart w:id="16" w:name="xdx_902_edei--WrittenCommunications_c202"/>
      <w:bookmarkEnd w:id="16"/>
      <w:r>
        <w:rPr>
          <w:caps w:val="false"/>
          <w:smallCaps w:val="false"/>
        </w:rPr>
        <w:t xml:space="preserve">☐ </w:t>
      </w:r>
      <w:r>
        <w:rPr>
          <w:rFonts w:ascii="Times New Roman;Times;Serif" w:hAnsi="Times New Roman;Times;Serif"/>
          <w:b w:val="false"/>
          <w:i w:val="false"/>
          <w:caps w:val="false"/>
          <w:smallCaps w:val="false"/>
          <w:sz w:val="20"/>
        </w:rPr>
        <w:t>Written communication pursuant to Rule 425 under the Securities Act (17 CFR 230.425)</w:t>
      </w:r>
    </w:p>
    <w:p>
      <w:pPr>
        <w:pStyle w:val="TextBody"/>
        <w:bidi w:val="0"/>
        <w:jc w:val="left"/>
        <w:rPr>
          <w:caps w:val="false"/>
          <w:smallCaps w:val="false"/>
        </w:rPr>
      </w:pPr>
      <w:bookmarkStart w:id="17" w:name="xdx_90C_edei--SolicitingMaterial_c202608"/>
      <w:bookmarkEnd w:id="17"/>
      <w:r>
        <w:rPr>
          <w:caps w:val="false"/>
          <w:smallCaps w:val="false"/>
        </w:rPr>
        <w:t xml:space="preserve">☐ </w:t>
      </w:r>
      <w:r>
        <w:rPr>
          <w:rFonts w:ascii="Times New Roman;Times;Serif" w:hAnsi="Times New Roman;Times;Serif"/>
          <w:b w:val="false"/>
          <w:i w:val="false"/>
          <w:caps w:val="false"/>
          <w:smallCaps w:val="false"/>
          <w:sz w:val="20"/>
        </w:rPr>
        <w:t>Soliciting material pursuant to Rule 14a-12 under the Exchange Act (17 CFR 240.14a-12)</w:t>
      </w:r>
    </w:p>
    <w:p>
      <w:pPr>
        <w:pStyle w:val="TextBody"/>
        <w:bidi w:val="0"/>
        <w:jc w:val="left"/>
        <w:rPr>
          <w:caps w:val="false"/>
          <w:smallCaps w:val="false"/>
        </w:rPr>
      </w:pPr>
      <w:bookmarkStart w:id="18" w:name="xdx_907_edei--PreCommencementTenderOffer"/>
      <w:bookmarkEnd w:id="18"/>
      <w:r>
        <w:rPr>
          <w:caps w:val="false"/>
          <w:smallCaps w:val="false"/>
        </w:rPr>
        <w:t xml:space="preserve">☐ </w:t>
      </w:r>
      <w:r>
        <w:rPr>
          <w:rFonts w:ascii="Times New Roman;Times;Serif" w:hAnsi="Times New Roman;Times;Serif"/>
          <w:b w:val="false"/>
          <w:i w:val="false"/>
          <w:caps w:val="false"/>
          <w:smallCaps w:val="false"/>
          <w:sz w:val="20"/>
        </w:rPr>
        <w:t>Pre-commencement communication pursuant to Rule 14d-2(b) under the Exchange Act (17 CFR 240.14d-2(b))</w:t>
      </w:r>
    </w:p>
    <w:p>
      <w:pPr>
        <w:pStyle w:val="TextBody"/>
        <w:bidi w:val="0"/>
        <w:jc w:val="left"/>
        <w:rPr>
          <w:caps w:val="false"/>
          <w:smallCaps w:val="false"/>
        </w:rPr>
      </w:pPr>
      <w:bookmarkStart w:id="19" w:name="xdx_90D_edei--PreCommencementIssuerTende"/>
      <w:bookmarkEnd w:id="19"/>
      <w:r>
        <w:rPr>
          <w:caps w:val="false"/>
          <w:smallCaps w:val="false"/>
        </w:rPr>
        <w:t xml:space="preserve">☐ </w:t>
      </w:r>
      <w:r>
        <w:rPr>
          <w:rFonts w:ascii="Times New Roman;Times;Serif" w:hAnsi="Times New Roman;Times;Serif"/>
          <w:b w:val="false"/>
          <w:i w:val="false"/>
          <w:caps w:val="false"/>
          <w:smallCaps w:val="false"/>
          <w:sz w:val="20"/>
        </w:rPr>
        <w:t>Pre-commencement communication pursuant to Rule 13e-4(c) under the Exchange Act (17 CFR 240.13e-4(c))</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registered pursuant to Section 12(b) of the Act:</w:t>
      </w:r>
    </w:p>
    <w:p>
      <w:pPr>
        <w:pStyle w:val="TextBody"/>
        <w:bidi w:val="0"/>
        <w:jc w:val="both"/>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6398"/>
        <w:gridCol w:w="60"/>
        <w:gridCol w:w="1219"/>
        <w:gridCol w:w="60"/>
        <w:gridCol w:w="2468"/>
      </w:tblGrid>
      <w:tr>
        <w:trPr/>
        <w:tc>
          <w:tcPr>
            <w:tcW w:w="6398" w:type="dxa"/>
            <w:tcBorders>
              <w:bottom w:val="single" w:sz="8" w:space="0" w:color="000000"/>
            </w:tcBorders>
            <w:vAlign w:val="center"/>
          </w:tcPr>
          <w:p>
            <w:pPr>
              <w:pStyle w:val="TableContents"/>
              <w:bidi w:val="0"/>
              <w:spacing w:before="0" w:after="283"/>
              <w:jc w:val="center"/>
              <w:rPr>
                <w:b/>
                <w:sz w:val="20"/>
              </w:rPr>
            </w:pPr>
            <w:r>
              <w:rPr>
                <w:b/>
                <w:sz w:val="20"/>
              </w:rPr>
              <w:t>Title of each class</w:t>
            </w:r>
          </w:p>
        </w:tc>
        <w:tc>
          <w:tcPr>
            <w:tcW w:w="60" w:type="dxa"/>
            <w:tcBorders/>
            <w:tcMar>
              <w:bottom w:w="0" w:type="dxa"/>
            </w:tcMar>
            <w:vAlign w:val="center"/>
          </w:tcPr>
          <w:p>
            <w:pPr>
              <w:pStyle w:val="TableContents"/>
              <w:bidi w:val="0"/>
              <w:spacing w:before="0" w:after="283"/>
              <w:jc w:val="center"/>
              <w:rPr/>
            </w:pPr>
            <w:r>
              <w:rPr/>
              <w:t> </w:t>
            </w:r>
          </w:p>
        </w:tc>
        <w:tc>
          <w:tcPr>
            <w:tcW w:w="1219" w:type="dxa"/>
            <w:tcBorders>
              <w:bottom w:val="single" w:sz="8" w:space="0" w:color="000000"/>
            </w:tcBorders>
            <w:vAlign w:val="center"/>
          </w:tcPr>
          <w:p>
            <w:pPr>
              <w:pStyle w:val="TableContents"/>
              <w:bidi w:val="0"/>
              <w:spacing w:before="0" w:after="283"/>
              <w:jc w:val="center"/>
              <w:rPr>
                <w:b/>
                <w:sz w:val="20"/>
              </w:rPr>
            </w:pPr>
            <w:r>
              <w:rPr>
                <w:b/>
                <w:sz w:val="20"/>
              </w:rPr>
              <w:t>Trading Symbol(s)</w:t>
            </w:r>
          </w:p>
        </w:tc>
        <w:tc>
          <w:tcPr>
            <w:tcW w:w="60" w:type="dxa"/>
            <w:tcBorders/>
            <w:tcMar>
              <w:bottom w:w="0" w:type="dxa"/>
            </w:tcMar>
            <w:vAlign w:val="center"/>
          </w:tcPr>
          <w:p>
            <w:pPr>
              <w:pStyle w:val="TableContents"/>
              <w:bidi w:val="0"/>
              <w:spacing w:before="0" w:after="283"/>
              <w:jc w:val="center"/>
              <w:rPr/>
            </w:pPr>
            <w:r>
              <w:rPr/>
              <w:t> </w:t>
            </w:r>
          </w:p>
        </w:tc>
        <w:tc>
          <w:tcPr>
            <w:tcW w:w="2468" w:type="dxa"/>
            <w:tcBorders>
              <w:bottom w:val="single" w:sz="8" w:space="0" w:color="000000"/>
            </w:tcBorders>
            <w:vAlign w:val="center"/>
          </w:tcPr>
          <w:p>
            <w:pPr>
              <w:pStyle w:val="TableContents"/>
              <w:bidi w:val="0"/>
              <w:spacing w:before="0" w:after="283"/>
              <w:jc w:val="center"/>
              <w:rPr>
                <w:b/>
                <w:sz w:val="20"/>
              </w:rPr>
            </w:pPr>
            <w:r>
              <w:rPr>
                <w:b/>
                <w:sz w:val="20"/>
              </w:rPr>
              <w:t>Name of each exchange on which registered</w:t>
            </w:r>
          </w:p>
        </w:tc>
      </w:tr>
      <w:tr>
        <w:trPr/>
        <w:tc>
          <w:tcPr>
            <w:tcW w:w="6398" w:type="dxa"/>
            <w:tcBorders/>
            <w:shd w:fill="CCEEFF" w:val="clear"/>
            <w:tcMar>
              <w:bottom w:w="0" w:type="dxa"/>
            </w:tcMar>
            <w:vAlign w:val="center"/>
          </w:tcPr>
          <w:p>
            <w:pPr>
              <w:pStyle w:val="TableContents"/>
              <w:bidi w:val="0"/>
              <w:spacing w:before="0" w:after="283"/>
              <w:jc w:val="center"/>
              <w:rPr>
                <w:sz w:val="20"/>
              </w:rPr>
            </w:pPr>
            <w:bookmarkStart w:id="20" w:name="xdx_902_edei--Security12bTitle_c20260806"/>
            <w:bookmarkEnd w:id="20"/>
            <w:r>
              <w:rPr>
                <w:sz w:val="20"/>
              </w:rPr>
              <w:t>Common stock, par value $0.0001</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19" w:type="dxa"/>
            <w:tcBorders/>
            <w:shd w:fill="CCEEFF" w:val="clear"/>
            <w:tcMar>
              <w:bottom w:w="0" w:type="dxa"/>
            </w:tcMar>
            <w:vAlign w:val="center"/>
          </w:tcPr>
          <w:p>
            <w:pPr>
              <w:pStyle w:val="TableContents"/>
              <w:bidi w:val="0"/>
              <w:spacing w:before="0" w:after="283"/>
              <w:jc w:val="center"/>
              <w:rPr>
                <w:sz w:val="20"/>
              </w:rPr>
            </w:pPr>
            <w:bookmarkStart w:id="21" w:name="xdx_904_edei--TradingSymbol_c20260806__2"/>
            <w:bookmarkEnd w:id="21"/>
            <w:r>
              <w:rPr>
                <w:sz w:val="20"/>
              </w:rPr>
              <w:t>STLN</w:t>
            </w:r>
          </w:p>
        </w:tc>
        <w:tc>
          <w:tcPr>
            <w:tcW w:w="60" w:type="dxa"/>
            <w:tcBorders/>
            <w:shd w:fill="CCEEFF" w:val="clear"/>
            <w:tcMar>
              <w:bottom w:w="0" w:type="dxa"/>
            </w:tcMar>
            <w:vAlign w:val="center"/>
          </w:tcPr>
          <w:p>
            <w:pPr>
              <w:pStyle w:val="TableContents"/>
              <w:bidi w:val="0"/>
              <w:spacing w:before="0" w:after="283"/>
              <w:jc w:val="left"/>
              <w:rPr/>
            </w:pPr>
            <w:r>
              <w:rPr/>
              <w:t> </w:t>
            </w:r>
          </w:p>
        </w:tc>
        <w:tc>
          <w:tcPr>
            <w:tcW w:w="2468" w:type="dxa"/>
            <w:tcBorders/>
            <w:shd w:fill="CCEEFF" w:val="clear"/>
            <w:tcMar>
              <w:bottom w:w="0" w:type="dxa"/>
            </w:tcMar>
            <w:vAlign w:val="center"/>
          </w:tcPr>
          <w:p>
            <w:pPr>
              <w:pStyle w:val="TableContents"/>
              <w:bidi w:val="0"/>
              <w:spacing w:before="0" w:after="283"/>
              <w:jc w:val="center"/>
              <w:rPr>
                <w:sz w:val="20"/>
              </w:rPr>
            </w:pPr>
            <w:bookmarkStart w:id="22" w:name="xdx_905_edei--SecurityExchangeName_c2026"/>
            <w:bookmarkEnd w:id="22"/>
            <w:r>
              <w:rPr>
                <w:sz w:val="20"/>
              </w:rPr>
              <w:t>The Nasdaq Stock Market LLC</w:t>
            </w:r>
          </w:p>
        </w:tc>
      </w:tr>
      <w:tr>
        <w:trPr/>
        <w:tc>
          <w:tcPr>
            <w:tcW w:w="6398" w:type="dxa"/>
            <w:tcBorders/>
            <w:shd w:fill="FFFFFF" w:val="clear"/>
            <w:tcMar>
              <w:bottom w:w="0" w:type="dxa"/>
            </w:tcMar>
            <w:vAlign w:val="center"/>
          </w:tcPr>
          <w:p>
            <w:pPr>
              <w:pStyle w:val="TableContents"/>
              <w:bidi w:val="0"/>
              <w:spacing w:before="0" w:after="283"/>
              <w:jc w:val="center"/>
              <w:rPr>
                <w:sz w:val="20"/>
              </w:rPr>
            </w:pPr>
            <w:bookmarkStart w:id="23" w:name="xdx_902_edei--Security12bTitle_c20260806"/>
            <w:bookmarkEnd w:id="23"/>
            <w:r>
              <w:rPr>
                <w:sz w:val="20"/>
              </w:rPr>
              <w:t xml:space="preserve">Redeemable warrants, each whole warrant exercisable for one share of Common stock, each at an exercise price of $11.50 per share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19" w:type="dxa"/>
            <w:tcBorders/>
            <w:shd w:fill="FFFFFF" w:val="clear"/>
            <w:tcMar>
              <w:bottom w:w="0" w:type="dxa"/>
            </w:tcMar>
            <w:vAlign w:val="center"/>
          </w:tcPr>
          <w:p>
            <w:pPr>
              <w:pStyle w:val="TableContents"/>
              <w:bidi w:val="0"/>
              <w:spacing w:before="0" w:after="283"/>
              <w:jc w:val="center"/>
              <w:rPr>
                <w:sz w:val="20"/>
              </w:rPr>
            </w:pPr>
            <w:bookmarkStart w:id="24" w:name="xdx_903_edei--TradingSymbol_c20260806__2"/>
            <w:bookmarkEnd w:id="24"/>
            <w:r>
              <w:rPr>
                <w:sz w:val="20"/>
              </w:rPr>
              <w:t>TOIIW</w:t>
            </w:r>
          </w:p>
        </w:tc>
        <w:tc>
          <w:tcPr>
            <w:tcW w:w="60" w:type="dxa"/>
            <w:tcBorders/>
            <w:shd w:fill="FFFFFF" w:val="clear"/>
            <w:tcMar>
              <w:bottom w:w="0" w:type="dxa"/>
            </w:tcMar>
            <w:vAlign w:val="center"/>
          </w:tcPr>
          <w:p>
            <w:pPr>
              <w:pStyle w:val="TableContents"/>
              <w:bidi w:val="0"/>
              <w:spacing w:before="0" w:after="283"/>
              <w:jc w:val="left"/>
              <w:rPr/>
            </w:pPr>
            <w:r>
              <w:rPr/>
              <w:t> </w:t>
            </w:r>
          </w:p>
        </w:tc>
        <w:tc>
          <w:tcPr>
            <w:tcW w:w="2468" w:type="dxa"/>
            <w:tcBorders/>
            <w:shd w:fill="FFFFFF" w:val="clear"/>
            <w:tcMar>
              <w:bottom w:w="0" w:type="dxa"/>
            </w:tcMar>
            <w:vAlign w:val="center"/>
          </w:tcPr>
          <w:p>
            <w:pPr>
              <w:pStyle w:val="TableContents"/>
              <w:bidi w:val="0"/>
              <w:spacing w:before="0" w:after="283"/>
              <w:jc w:val="center"/>
              <w:rPr>
                <w:sz w:val="20"/>
              </w:rPr>
            </w:pPr>
            <w:bookmarkStart w:id="25" w:name="xdx_904_edei--SecurityExchangeName_c2026"/>
            <w:bookmarkEnd w:id="25"/>
            <w:r>
              <w:rPr>
                <w:sz w:val="20"/>
              </w:rPr>
              <w:t>The Nasdaq Stock Market LLC</w:t>
            </w:r>
          </w:p>
        </w:tc>
      </w:tr>
    </w:tbl>
    <w:p>
      <w:pPr>
        <w:pStyle w:val="TextBody"/>
        <w:bidi w:val="0"/>
        <w:jc w:val="left"/>
        <w:rPr>
          <w:caps w:val="false"/>
          <w:smallCaps w:val="false"/>
        </w:rPr>
      </w:pPr>
      <w:r>
        <w:rPr>
          <w:caps w:val="false"/>
          <w:smallCaps w:val="false"/>
        </w:rPr>
        <w:t> </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(17 CFR §230.405) or Rule 12b-2 of the Securities Exchange Act of 1934 (17 CFR §240.12b-2).</w:t>
      </w:r>
    </w:p>
    <w:p>
      <w:pPr>
        <w:pStyle w:val="TextBody"/>
        <w:bidi w:val="0"/>
        <w:jc w:val="both"/>
        <w:rPr>
          <w:caps w:val="false"/>
          <w:smallCaps w:val="false"/>
        </w:rPr>
      </w:pPr>
      <w:r>
        <w:rPr>
          <w:caps w:val="false"/>
          <w:smallCaps w:val="false"/>
        </w:rPr>
        <w:t> </w:t>
      </w:r>
    </w:p>
    <w:p>
      <w:pPr>
        <w:pStyle w:val="TextBody"/>
        <w:bidi w:val="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Emerging growth company </w:t>
      </w:r>
      <w:bookmarkStart w:id="26" w:name="xdx_906_edei--EntityEmergingGrowthCompan"/>
      <w:bookmarkEnd w:id="26"/>
      <w:r>
        <w:rPr>
          <w:rFonts w:ascii="Times New Roman;Times;Serif" w:hAnsi="Times New Roman;Times;Serif"/>
          <w:b w:val="false"/>
          <w:i w:val="false"/>
          <w:caps w:val="false"/>
          <w:smallCaps w:val="false"/>
          <w:sz w:val="20"/>
        </w:rPr>
        <w:t xml:space="preserve">☐ </w:t>
      </w:r>
    </w:p>
    <w:p>
      <w:pPr>
        <w:pStyle w:val="TextBody"/>
        <w:bidi w:val="0"/>
        <w:jc w:val="both"/>
        <w:rPr>
          <w:caps w:val="false"/>
          <w:smallCaps w:val="false"/>
        </w:rPr>
      </w:pPr>
      <w:r>
        <w:rPr>
          <w:caps w:val="false"/>
          <w:smallCaps w:val="false"/>
        </w:rPr>
        <w:t> </w:t>
      </w:r>
    </w:p>
    <w:p>
      <w:pPr>
        <w:pStyle w:val="TextBody"/>
        <w:bidi w:val="0"/>
        <w:spacing w:before="0" w:after="2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lineRule="auto" w:line="256" w:before="0" w:after="0"/>
        <w:ind w:left="0" w:right="0" w:hanging="0"/>
        <w:jc w:val="both"/>
        <w:rPr>
          <w:caps w:val="false"/>
          <w:smallCaps w:val="false"/>
        </w:rPr>
      </w:pPr>
      <w:r>
        <w:rPr>
          <w:caps w:val="false"/>
          <w:smallCaps w:val="false"/>
        </w:rPr>
        <w:t> </w:t>
      </w:r>
    </w:p>
    <w:p>
      <w:pPr>
        <w:pStyle w:val="TextBody"/>
        <w:bidi w:val="0"/>
        <w:spacing w:lineRule="auto" w:line="256" w:before="0" w:after="0"/>
        <w:ind w:left="0" w:right="0" w:hanging="0"/>
        <w:jc w:val="both"/>
        <w:rPr>
          <w:caps w:val="false"/>
          <w:smallCaps w:val="false"/>
        </w:rPr>
      </w:pPr>
      <w:r>
        <w:rPr>
          <w:caps w:val="false"/>
          <w:smallCaps w:val="false"/>
        </w:rPr>
        <w:t> </w:t>
      </w:r>
    </w:p>
    <w:p>
      <w:pPr>
        <w:pStyle w:val="TextBody"/>
        <w:bidi w:val="0"/>
        <w:spacing w:lineRule="auto" w:line="288"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2.02. Results of Operations and Financial Condition</w:t>
      </w:r>
    </w:p>
    <w:p>
      <w:pPr>
        <w:pStyle w:val="TextBody"/>
        <w:bidi w:val="0"/>
        <w:spacing w:lineRule="auto" w:line="300" w:before="0" w:after="0"/>
        <w:ind w:left="0" w:right="0" w:hanging="0"/>
        <w:jc w:val="left"/>
        <w:rPr>
          <w:caps w:val="false"/>
          <w:smallCaps w:val="false"/>
        </w:rPr>
      </w:pPr>
      <w:r>
        <w:rPr>
          <w:caps w:val="false"/>
          <w:smallCaps w:val="false"/>
        </w:rPr>
        <w:t> </w:t>
      </w:r>
    </w:p>
    <w:p>
      <w:pPr>
        <w:pStyle w:val="TextBody"/>
        <w:bidi w:val="0"/>
        <w:spacing w:lineRule="auto" w:line="276"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6, 2026, Starling Oncology, Inc. (the "Company") issued a press release announcing its financial results for the three months ended June 30, 2026 and certain other financial information. A copy of the press release is furnished hereto as Exhibit 99.1, which is incorporated by reference herein. </w:t>
      </w:r>
    </w:p>
    <w:p>
      <w:pPr>
        <w:pStyle w:val="TextBody"/>
        <w:bidi w:val="0"/>
        <w:spacing w:lineRule="auto" w:line="300" w:before="0" w:after="0"/>
        <w:ind w:left="0" w:right="0" w:hanging="0"/>
        <w:jc w:val="left"/>
        <w:rPr>
          <w:caps w:val="false"/>
          <w:smallCaps w:val="false"/>
        </w:rPr>
      </w:pPr>
      <w:r>
        <w:rPr>
          <w:caps w:val="false"/>
          <w:smallCaps w:val="false"/>
        </w:rPr>
        <w:t> </w:t>
      </w:r>
    </w:p>
    <w:p>
      <w:pPr>
        <w:pStyle w:val="TextBody"/>
        <w:bidi w:val="0"/>
        <w:spacing w:lineRule="auto" w:line="300"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contained in Item 2.02 of this Current Report and Exhibit 99.1 is being furnished and shall not be deemed “filed” for purposes of Section 18 of the Securities Exchange Act of 1934, as amended (the “Exchange Act”), or otherwise subject to the liabilities of such section.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9.01 Financial Statements and Exhibits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(d) Exhibits</w:t>
      </w:r>
    </w:p>
    <w:p>
      <w:pPr>
        <w:pStyle w:val="TextBody"/>
        <w:bidi w:val="0"/>
        <w:spacing w:before="0" w:after="0"/>
        <w:ind w:left="0" w:right="0" w:hanging="0"/>
        <w:jc w:val="left"/>
        <w:rPr>
          <w:caps w:val="false"/>
          <w:smallCaps w:val="false"/>
        </w:rPr>
      </w:pPr>
      <w:r>
        <w:rPr>
          <w:caps w:val="false"/>
          <w:smallCaps w:val="false"/>
        </w:rPr>
        <w:t> </w:t>
      </w:r>
    </w:p>
    <w:tbl>
      <w:tblPr>
        <w:tblW w:w="7600" w:type="dxa"/>
        <w:jc w:val="left"/>
        <w:tblInd w:w="0" w:type="dxa"/>
        <w:tblLayout w:type="fixed"/>
        <w:tblCellMar>
          <w:top w:w="0" w:type="dxa"/>
          <w:left w:w="0" w:type="dxa"/>
          <w:bottom w:w="28" w:type="dxa"/>
          <w:right w:w="0" w:type="dxa"/>
        </w:tblCellMar>
      </w:tblPr>
      <w:tblGrid>
        <w:gridCol w:w="995"/>
        <w:gridCol w:w="60"/>
        <w:gridCol w:w="60"/>
        <w:gridCol w:w="6485"/>
      </w:tblGrid>
      <w:tr>
        <w:trPr/>
        <w:tc>
          <w:tcPr>
            <w:tcW w:w="995" w:type="dxa"/>
            <w:tcBorders>
              <w:bottom w:val="single" w:sz="8" w:space="0" w:color="000000"/>
            </w:tcBorders>
            <w:shd w:fill="FFFFFF" w:val="clear"/>
            <w:vAlign w:val="center"/>
          </w:tcPr>
          <w:p>
            <w:pPr>
              <w:pStyle w:val="TableContents"/>
              <w:bidi w:val="0"/>
              <w:spacing w:before="0" w:after="283"/>
              <w:jc w:val="left"/>
              <w:rPr>
                <w:b/>
                <w:sz w:val="20"/>
              </w:rPr>
            </w:pPr>
            <w:r>
              <w:rPr>
                <w:b/>
                <w:sz w:val="20"/>
              </w:rPr>
              <w:t>Exhibit No.</w:t>
            </w:r>
          </w:p>
        </w:tc>
        <w:tc>
          <w:tcPr>
            <w:tcW w:w="60" w:type="dxa"/>
            <w:tcBorders>
              <w:bottom w:val="single" w:sz="8" w:space="0" w:color="000000"/>
            </w:tcBorders>
            <w:shd w:fill="FFFFFF" w:val="cle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485" w:type="dxa"/>
            <w:tcBorders>
              <w:bottom w:val="single" w:sz="8" w:space="0" w:color="000000"/>
            </w:tcBorders>
            <w:shd w:fill="FFFFFF" w:val="clear"/>
            <w:vAlign w:val="center"/>
          </w:tcPr>
          <w:p>
            <w:pPr>
              <w:pStyle w:val="TableContents"/>
              <w:bidi w:val="0"/>
              <w:spacing w:before="0" w:after="283"/>
              <w:jc w:val="left"/>
              <w:rPr>
                <w:b/>
                <w:sz w:val="20"/>
              </w:rPr>
            </w:pPr>
            <w:r>
              <w:rPr>
                <w:b/>
                <w:sz w:val="20"/>
              </w:rPr>
              <w:t>Description of Exhibit</w:t>
            </w:r>
          </w:p>
        </w:tc>
      </w:tr>
      <w:tr>
        <w:trPr/>
        <w:tc>
          <w:tcPr>
            <w:tcW w:w="995" w:type="dxa"/>
            <w:tcBorders/>
            <w:shd w:fill="FFFFFF" w:val="clear"/>
            <w:tcMar>
              <w:bottom w:w="0" w:type="dxa"/>
            </w:tcMar>
            <w:vAlign w:val="center"/>
          </w:tcPr>
          <w:p>
            <w:pPr>
              <w:pStyle w:val="TableContents"/>
              <w:bidi w:val="0"/>
              <w:spacing w:before="0" w:after="283"/>
              <w:jc w:val="left"/>
              <w:rPr>
                <w:sz w:val="20"/>
              </w:rPr>
            </w:pPr>
            <w:r>
              <w:rPr>
                <w:sz w:val="20"/>
              </w:rPr>
              <w:t>99.1</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485" w:type="dxa"/>
            <w:tcBorders/>
            <w:shd w:fill="FFFFFF" w:val="clear"/>
            <w:tcMar>
              <w:bottom w:w="0" w:type="dxa"/>
            </w:tcMar>
            <w:vAlign w:val="center"/>
          </w:tcPr>
          <w:p>
            <w:pPr>
              <w:pStyle w:val="TableContents"/>
              <w:bidi w:val="0"/>
              <w:spacing w:before="0" w:after="283"/>
              <w:jc w:val="left"/>
              <w:rPr/>
            </w:pPr>
            <w:hyperlink w:anchor="ex99x1.htm">
              <w:r>
                <w:rPr>
                  <w:rStyle w:val="InternetLink"/>
                  <w:sz w:val="20"/>
                </w:rPr>
                <w:t>Press release issued by Starling Oncology, Inc. on August 6, 2026</w:t>
              </w:r>
            </w:hyperlink>
            <w:r>
              <w:rPr>
                <w:sz w:val="20"/>
              </w:rPr>
              <w:t xml:space="preserve"> </w:t>
            </w:r>
          </w:p>
        </w:tc>
      </w:tr>
      <w:tr>
        <w:trPr/>
        <w:tc>
          <w:tcPr>
            <w:tcW w:w="995" w:type="dxa"/>
            <w:tcBorders/>
            <w:shd w:fill="CCEEFF" w:val="clear"/>
            <w:tcMar>
              <w:bottom w:w="0" w:type="dxa"/>
            </w:tcMar>
            <w:vAlign w:val="center"/>
          </w:tcPr>
          <w:p>
            <w:pPr>
              <w:pStyle w:val="TableContents"/>
              <w:bidi w:val="0"/>
              <w:spacing w:before="0" w:after="283"/>
              <w:jc w:val="left"/>
              <w:rPr>
                <w:sz w:val="20"/>
              </w:rPr>
            </w:pPr>
            <w:r>
              <w:rPr>
                <w:sz w:val="20"/>
              </w:rPr>
              <w:t>104</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485" w:type="dxa"/>
            <w:tcBorders/>
            <w:shd w:fill="CCEEFF" w:val="clear"/>
            <w:tcMar>
              <w:bottom w:w="0" w:type="dxa"/>
            </w:tcMar>
            <w:vAlign w:val="center"/>
          </w:tcPr>
          <w:p>
            <w:pPr>
              <w:pStyle w:val="TableContents"/>
              <w:bidi w:val="0"/>
              <w:spacing w:before="0" w:after="283"/>
              <w:jc w:val="left"/>
              <w:rPr>
                <w:sz w:val="20"/>
              </w:rPr>
            </w:pPr>
            <w:r>
              <w:rPr>
                <w:sz w:val="20"/>
              </w:rPr>
              <w:t>Cover Page Interactive Data File (embedded within the Inline XBRL document)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240"/>
        <w:jc w:val="center"/>
        <w:rPr>
          <w:caps w:val="false"/>
          <w:smallCaps w:val="false"/>
        </w:rPr>
      </w:pPr>
      <w:r>
        <w:rPr>
          <w:caps w:val="false"/>
          <w:smallCaps w:val="false"/>
        </w:rPr>
        <w:t> </w:t>
      </w:r>
      <w:r>
        <w:rPr>
          <w:rFonts w:ascii="Times New Roman;Times;Serif" w:hAnsi="Times New Roman;Times;Serif"/>
          <w:b/>
          <w:i w:val="false"/>
          <w:caps w:val="false"/>
          <w:smallCaps w:val="false"/>
          <w:sz w:val="20"/>
        </w:rPr>
        <w:t>SIGNATURE</w:t>
      </w:r>
    </w:p>
    <w:p>
      <w:pPr>
        <w:pStyle w:val="TextBody"/>
        <w:bidi w:val="0"/>
        <w:spacing w:before="0" w:after="2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tbl>
      <w:tblPr>
        <w:tblW w:w="5589" w:type="dxa"/>
        <w:jc w:val="left"/>
        <w:tblInd w:w="0" w:type="dxa"/>
        <w:tblLayout w:type="fixed"/>
        <w:tblCellMar>
          <w:top w:w="0" w:type="dxa"/>
          <w:left w:w="0" w:type="dxa"/>
          <w:bottom w:w="0" w:type="dxa"/>
          <w:right w:w="0" w:type="dxa"/>
        </w:tblCellMar>
      </w:tblPr>
      <w:tblGrid>
        <w:gridCol w:w="2180"/>
        <w:gridCol w:w="990"/>
        <w:gridCol w:w="2419"/>
      </w:tblGrid>
      <w:tr>
        <w:trPr/>
        <w:tc>
          <w:tcPr>
            <w:tcW w:w="2180" w:type="dxa"/>
            <w:tcBorders/>
            <w:vAlign w:val="center"/>
          </w:tcPr>
          <w:p>
            <w:pPr>
              <w:pStyle w:val="TableContents"/>
              <w:bidi w:val="0"/>
              <w:spacing w:before="0" w:after="283"/>
              <w:jc w:val="left"/>
              <w:rPr/>
            </w:pPr>
            <w:r>
              <w:rPr/>
              <w:t>Dated: August 6, 2026</w:t>
            </w:r>
          </w:p>
        </w:tc>
        <w:tc>
          <w:tcPr>
            <w:tcW w:w="3409" w:type="dxa"/>
            <w:gridSpan w:val="2"/>
            <w:tcBorders/>
            <w:vAlign w:val="center"/>
          </w:tcPr>
          <w:p>
            <w:pPr>
              <w:pStyle w:val="TableContents"/>
              <w:bidi w:val="0"/>
              <w:spacing w:before="0" w:after="283"/>
              <w:jc w:val="left"/>
              <w:rPr>
                <w:b/>
              </w:rPr>
            </w:pPr>
            <w:r>
              <w:rPr>
                <w:b/>
              </w:rPr>
              <w:t>STARLING ONCOLOGY, INC.</w:t>
            </w:r>
          </w:p>
        </w:tc>
      </w:tr>
      <w:tr>
        <w:trPr/>
        <w:tc>
          <w:tcPr>
            <w:tcW w:w="2180" w:type="dxa"/>
            <w:tcBorders/>
            <w:vAlign w:val="center"/>
          </w:tcPr>
          <w:p>
            <w:pPr>
              <w:pStyle w:val="TableContents"/>
              <w:bidi w:val="0"/>
              <w:spacing w:before="0" w:after="283"/>
              <w:jc w:val="left"/>
              <w:rPr/>
            </w:pPr>
            <w:r>
              <w:rPr/>
              <w:t> </w:t>
            </w:r>
          </w:p>
        </w:tc>
        <w:tc>
          <w:tcPr>
            <w:tcW w:w="3409" w:type="dxa"/>
            <w:gridSpan w:val="2"/>
            <w:tcBorders/>
            <w:vAlign w:val="center"/>
          </w:tcPr>
          <w:p>
            <w:pPr>
              <w:pStyle w:val="TableContents"/>
              <w:bidi w:val="0"/>
              <w:spacing w:before="0" w:after="283"/>
              <w:jc w:val="left"/>
              <w:rPr/>
            </w:pPr>
            <w:r>
              <w:rPr/>
              <w:t> </w:t>
            </w:r>
          </w:p>
        </w:tc>
      </w:tr>
      <w:tr>
        <w:trPr/>
        <w:tc>
          <w:tcPr>
            <w:tcW w:w="2180" w:type="dxa"/>
            <w:tcBorders/>
            <w:vAlign w:val="center"/>
          </w:tcPr>
          <w:p>
            <w:pPr>
              <w:pStyle w:val="TableContents"/>
              <w:bidi w:val="0"/>
              <w:spacing w:before="0" w:after="283"/>
              <w:jc w:val="left"/>
              <w:rPr/>
            </w:pPr>
            <w:r>
              <w:rPr/>
              <w:t> </w:t>
            </w:r>
          </w:p>
        </w:tc>
        <w:tc>
          <w:tcPr>
            <w:tcW w:w="990" w:type="dxa"/>
            <w:tcBorders/>
            <w:vAlign w:val="center"/>
          </w:tcPr>
          <w:p>
            <w:pPr>
              <w:pStyle w:val="TableContents"/>
              <w:bidi w:val="0"/>
              <w:spacing w:before="0" w:after="283"/>
              <w:jc w:val="left"/>
              <w:rPr/>
            </w:pPr>
            <w:r>
              <w:rPr/>
              <w:t>By:</w:t>
            </w:r>
          </w:p>
        </w:tc>
        <w:tc>
          <w:tcPr>
            <w:tcW w:w="2419" w:type="dxa"/>
            <w:tcBorders>
              <w:bottom w:val="single" w:sz="8" w:space="0" w:color="000000"/>
            </w:tcBorders>
            <w:tcMar>
              <w:bottom w:w="28" w:type="dxa"/>
            </w:tcMar>
            <w:vAlign w:val="center"/>
          </w:tcPr>
          <w:p>
            <w:pPr>
              <w:pStyle w:val="TableContents"/>
              <w:bidi w:val="0"/>
              <w:spacing w:before="0" w:after="283"/>
              <w:jc w:val="left"/>
              <w:rPr/>
            </w:pPr>
            <w:r>
              <w:rPr/>
              <w:t>/s/ Robert Carter</w:t>
            </w:r>
          </w:p>
        </w:tc>
      </w:tr>
      <w:tr>
        <w:trPr/>
        <w:tc>
          <w:tcPr>
            <w:tcW w:w="2180" w:type="dxa"/>
            <w:tcBorders/>
            <w:vAlign w:val="center"/>
          </w:tcPr>
          <w:p>
            <w:pPr>
              <w:pStyle w:val="TableContents"/>
              <w:bidi w:val="0"/>
              <w:spacing w:before="0" w:after="283"/>
              <w:jc w:val="left"/>
              <w:rPr/>
            </w:pPr>
            <w:r>
              <w:rPr/>
              <w:t> </w:t>
            </w:r>
          </w:p>
        </w:tc>
        <w:tc>
          <w:tcPr>
            <w:tcW w:w="990" w:type="dxa"/>
            <w:tcBorders/>
            <w:vAlign w:val="center"/>
          </w:tcPr>
          <w:p>
            <w:pPr>
              <w:pStyle w:val="TableContents"/>
              <w:bidi w:val="0"/>
              <w:spacing w:before="0" w:after="283"/>
              <w:jc w:val="left"/>
              <w:rPr/>
            </w:pPr>
            <w:r>
              <w:rPr/>
              <w:t>Name:  </w:t>
            </w:r>
          </w:p>
        </w:tc>
        <w:tc>
          <w:tcPr>
            <w:tcW w:w="2419" w:type="dxa"/>
            <w:tcBorders/>
            <w:vAlign w:val="center"/>
          </w:tcPr>
          <w:p>
            <w:pPr>
              <w:pStyle w:val="TableContents"/>
              <w:bidi w:val="0"/>
              <w:spacing w:before="0" w:after="283"/>
              <w:jc w:val="left"/>
              <w:rPr/>
            </w:pPr>
            <w:r>
              <w:rPr/>
              <w:t xml:space="preserve">Robert Carter </w:t>
            </w:r>
          </w:p>
        </w:tc>
      </w:tr>
      <w:tr>
        <w:trPr/>
        <w:tc>
          <w:tcPr>
            <w:tcW w:w="2180" w:type="dxa"/>
            <w:tcBorders/>
            <w:vAlign w:val="center"/>
          </w:tcPr>
          <w:p>
            <w:pPr>
              <w:pStyle w:val="TableContents"/>
              <w:bidi w:val="0"/>
              <w:spacing w:before="0" w:after="283"/>
              <w:jc w:val="left"/>
              <w:rPr/>
            </w:pPr>
            <w:r>
              <w:rPr/>
              <w:t> </w:t>
            </w:r>
          </w:p>
        </w:tc>
        <w:tc>
          <w:tcPr>
            <w:tcW w:w="990" w:type="dxa"/>
            <w:tcBorders/>
            <w:vAlign w:val="center"/>
          </w:tcPr>
          <w:p>
            <w:pPr>
              <w:pStyle w:val="TableContents"/>
              <w:bidi w:val="0"/>
              <w:spacing w:before="0" w:after="283"/>
              <w:jc w:val="left"/>
              <w:rPr/>
            </w:pPr>
            <w:r>
              <w:rPr/>
              <w:t>Title:</w:t>
            </w:r>
          </w:p>
        </w:tc>
        <w:tc>
          <w:tcPr>
            <w:tcW w:w="2419"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Financial Officer</w:t>
            </w:r>
          </w:p>
        </w:tc>
      </w:tr>
    </w:tbl>
    <w:p>
      <w:pPr>
        <w:pStyle w:val="TextBody"/>
        <w:bidi w:val="0"/>
        <w:spacing w:before="0" w:after="120"/>
        <w:ind w:left="0" w:right="0" w:hanging="0"/>
        <w:jc w:val="left"/>
        <w:rPr>
          <w:caps w:val="false"/>
          <w:smallCaps w:val="false"/>
        </w:rPr>
      </w:pPr>
      <w:r>
        <w:rPr>
          <w:caps w:val="false"/>
          <w:smallCaps w:val="false"/>
        </w:rPr>
        <w:t> </w:t>
      </w:r>
    </w:p>
    <w:p>
      <w:pPr>
        <w:pStyle w:val="TextBody"/>
        <w:bidi w:val="0"/>
        <w:spacing w:before="0" w:after="12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jc w:val="right"/>
        <w:rPr/>
      </w:pPr>
      <w:bookmarkStart w:id="27" w:name="ex99x1.htm"/>
      <w:bookmarkStart w:id="28" w:name="ksex99x1"/>
      <w:bookmarkEnd w:id="27"/>
      <w:bookmarkEnd w:id="28"/>
      <w:r>
        <w:rPr/>
        <w:t>Exhibit 99.1</w:t>
      </w:r>
      <w:r>
        <w:br w:type="page"/>
      </w:r>
    </w:p>
    <w:p>
      <w:pPr>
        <w:pStyle w:val="TextBody"/>
        <w:bidi w:val="0"/>
        <w:spacing w:before="0" w:after="283"/>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jc w:val="center"/>
        <w:rPr>
          <w:caps w:val="false"/>
          <w:smallCaps w:val="false"/>
        </w:rPr>
      </w:pPr>
      <w:r>
        <w:rPr>
          <w:caps w:val="false"/>
          <w:smallCaps w:val="false"/>
        </w:rPr>
        <w:drawing>
          <wp:inline distT="0" distB="0" distL="0" distR="0">
            <wp:extent cx="1066800" cy="10477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066800" cy="1047750"/>
                    </a:xfrm>
                    <a:prstGeom prst="rect">
                      <a:avLst/>
                    </a:prstGeom>
                  </pic:spPr>
                </pic:pic>
              </a:graphicData>
            </a:graphic>
          </wp:inline>
        </w:drawing>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FOR IMMEDIATE RELEASE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8"/>
          <w:u w:val="single"/>
        </w:rPr>
      </w:pPr>
      <w:r>
        <w:rPr>
          <w:rFonts w:ascii="Times New Roman;Times;Serif" w:hAnsi="Times New Roman;Times;Serif"/>
          <w:b/>
          <w:i w:val="false"/>
          <w:caps w:val="false"/>
          <w:smallCaps w:val="false"/>
          <w:sz w:val="28"/>
          <w:u w:val="single"/>
        </w:rPr>
        <w:t>Starling Oncology Reports Second Quarter 2026 Financial Results and Updates Full-Year 2026 Guidance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11" w:right="0" w:firstLine="7"/>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CERRITOS, Calif., August 6, 2026 -- Starling Oncology, Inc. (NASDAQ: STLN) (“STLN” or the “Company”), one of the largest value-based community oncology groups in the United States, today reported financial results for its quarter ended June 30, 2026 and updated it's full-year 2026 guidance.</w:t>
      </w:r>
    </w:p>
    <w:p>
      <w:pPr>
        <w:pStyle w:val="TextBody"/>
        <w:bidi w:val="0"/>
        <w:spacing w:before="0" w:after="0"/>
        <w:ind w:left="11" w:right="0" w:firstLine="7"/>
        <w:jc w:val="both"/>
        <w:rPr>
          <w:caps w:val="false"/>
          <w:smallCaps w:val="false"/>
        </w:rPr>
      </w:pPr>
      <w:r>
        <w:rPr>
          <w:caps w:val="false"/>
          <w:smallCaps w:val="false"/>
        </w:rPr>
        <w:t> </w:t>
      </w:r>
    </w:p>
    <w:p>
      <w:pPr>
        <w:pStyle w:val="TextBody"/>
        <w:bidi w:val="0"/>
        <w:spacing w:before="0" w:after="0"/>
        <w:ind w:left="11" w:right="0" w:firstLine="7"/>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Recent Operational Highlights</w:t>
      </w:r>
    </w:p>
    <w:p>
      <w:pPr>
        <w:pStyle w:val="TextBody"/>
        <w:bidi w:val="0"/>
        <w:spacing w:before="0" w:after="0"/>
        <w:ind w:left="11" w:right="0" w:firstLine="7"/>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pPr>
            <w:r>
              <w:rPr/>
              <w:t>•</w:t>
            </w:r>
          </w:p>
        </w:tc>
        <w:tc>
          <w:tcPr>
            <w:tcW w:w="10058" w:type="dxa"/>
            <w:tcBorders/>
            <w:vAlign w:val="center"/>
          </w:tcPr>
          <w:p>
            <w:pPr>
              <w:pStyle w:val="TableContents"/>
              <w:bidi w:val="0"/>
              <w:spacing w:lineRule="auto" w:line="268" w:before="0" w:after="283"/>
              <w:jc w:val="both"/>
              <w:rPr>
                <w:sz w:val="20"/>
              </w:rPr>
            </w:pPr>
            <w:r>
              <w:rPr>
                <w:sz w:val="20"/>
              </w:rPr>
              <w:t xml:space="preserve">Specialty Pharmacy had record Part D fills driving Specialty Pharmacy revenue up 58% in the quarter as compared to prior year same quarter, driven by continued strength in prescription fill volumes as we bring new capitated lives onto the platform, along with the ongoing ramp of our Florida delegated arrangements. </w:t>
            </w:r>
          </w:p>
        </w:tc>
      </w:tr>
    </w:tbl>
    <w:tbl>
      <w:tblPr>
        <w:tblW w:w="5000" w:type="pct"/>
        <w:jc w:val="left"/>
        <w:tblInd w:w="0" w:type="dxa"/>
        <w:tblLayout w:type="fixed"/>
        <w:tblCellMar>
          <w:top w:w="0" w:type="dxa"/>
          <w:left w:w="0" w:type="dxa"/>
          <w:bottom w:w="0" w:type="dxa"/>
          <w:right w:w="0" w:type="dxa"/>
        </w:tblCellMar>
      </w:tblPr>
      <w:tblGrid>
        <w:gridCol w:w="42"/>
        <w:gridCol w:w="122"/>
        <w:gridCol w:w="10041"/>
      </w:tblGrid>
      <w:tr>
        <w:trPr/>
        <w:tc>
          <w:tcPr>
            <w:tcW w:w="4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pPr>
            <w:r>
              <w:rPr/>
              <w:t>•</w:t>
            </w:r>
          </w:p>
        </w:tc>
        <w:tc>
          <w:tcPr>
            <w:tcW w:w="10041" w:type="dxa"/>
            <w:tcBorders/>
            <w:vAlign w:val="center"/>
          </w:tcPr>
          <w:p>
            <w:pPr>
              <w:pStyle w:val="TableContents"/>
              <w:bidi w:val="0"/>
              <w:spacing w:before="0" w:after="283"/>
              <w:jc w:val="both"/>
              <w:rPr>
                <w:sz w:val="20"/>
              </w:rPr>
            </w:pPr>
            <w:r>
              <w:rPr>
                <w:sz w:val="20"/>
              </w:rPr>
              <w:t xml:space="preserve">Results in the first half of the year have given us the opportunity to raise guidance for revenue and gross profit. </w:t>
            </w:r>
          </w:p>
        </w:tc>
      </w:tr>
    </w:tbl>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pPr>
            <w:r>
              <w:rPr/>
              <w:t>•</w:t>
            </w:r>
          </w:p>
        </w:tc>
        <w:tc>
          <w:tcPr>
            <w:tcW w:w="10058" w:type="dxa"/>
            <w:tcBorders/>
            <w:vAlign w:val="center"/>
          </w:tcPr>
          <w:p>
            <w:pPr>
              <w:pStyle w:val="TableContents"/>
              <w:bidi w:val="0"/>
              <w:spacing w:before="0" w:after="283"/>
              <w:jc w:val="both"/>
              <w:rPr>
                <w:sz w:val="20"/>
              </w:rPr>
            </w:pPr>
            <w:r>
              <w:rPr>
                <w:sz w:val="20"/>
              </w:rPr>
              <w:t xml:space="preserve">Preparing to launch our proprietary provider portal, Starling Nexus, in mid-August which is designed to strengthen provider engagement and drive continued adherence to our clinical pathways, particularly for our network physicians. </w:t>
            </w:r>
          </w:p>
        </w:tc>
      </w:tr>
    </w:tbl>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pPr>
            <w:r>
              <w:rPr/>
              <w:t>•</w:t>
            </w:r>
          </w:p>
        </w:tc>
        <w:tc>
          <w:tcPr>
            <w:tcW w:w="10058" w:type="dxa"/>
            <w:tcBorders/>
            <w:vAlign w:val="center"/>
          </w:tcPr>
          <w:p>
            <w:pPr>
              <w:pStyle w:val="TableContents"/>
              <w:bidi w:val="0"/>
              <w:spacing w:before="0" w:after="283"/>
              <w:jc w:val="both"/>
              <w:rPr>
                <w:sz w:val="20"/>
              </w:rPr>
            </w:pPr>
            <w:r>
              <w:rPr>
                <w:sz w:val="20"/>
              </w:rPr>
              <w:t>Achieved exclusivity in California with one of our largest partners across all of their delegated medical groups, a relationship that was previously split with another entity. This added approximately 230,000 capitated lives.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Second Quarter 2026 Financial Highlights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lineRule="auto" w:line="316"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All comparisons are to the quarter ended June 30, 2025 unless otherwise noted</w:t>
      </w:r>
    </w:p>
    <w:p>
      <w:pPr>
        <w:pStyle w:val="TextBody"/>
        <w:bidi w:val="0"/>
        <w:spacing w:lineRule="auto" w:line="316"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9"/>
        <w:gridCol w:w="173"/>
        <w:gridCol w:w="9973"/>
      </w:tblGrid>
      <w:tr>
        <w:trPr/>
        <w:tc>
          <w:tcPr>
            <w:tcW w:w="59"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pPr>
            <w:r>
              <w:rPr/>
              <w:t>•</w:t>
            </w:r>
          </w:p>
        </w:tc>
        <w:tc>
          <w:tcPr>
            <w:tcW w:w="9973" w:type="dxa"/>
            <w:tcBorders/>
            <w:vAlign w:val="center"/>
          </w:tcPr>
          <w:p>
            <w:pPr>
              <w:pStyle w:val="TableContents"/>
              <w:bidi w:val="0"/>
              <w:spacing w:before="0" w:after="283"/>
              <w:jc w:val="both"/>
              <w:rPr>
                <w:sz w:val="20"/>
              </w:rPr>
            </w:pPr>
            <w:r>
              <w:rPr>
                <w:sz w:val="20"/>
              </w:rPr>
              <w:t>Consolidated revenue of $161.3 million increased 34.6% from $119.8 million</w:t>
            </w:r>
          </w:p>
        </w:tc>
      </w:tr>
    </w:tbl>
    <w:tbl>
      <w:tblPr>
        <w:tblW w:w="5000" w:type="pct"/>
        <w:jc w:val="left"/>
        <w:tblInd w:w="0" w:type="dxa"/>
        <w:tblLayout w:type="fixed"/>
        <w:tblCellMar>
          <w:top w:w="0" w:type="dxa"/>
          <w:left w:w="0" w:type="dxa"/>
          <w:bottom w:w="0" w:type="dxa"/>
          <w:right w:w="0" w:type="dxa"/>
        </w:tblCellMar>
      </w:tblPr>
      <w:tblGrid>
        <w:gridCol w:w="98"/>
        <w:gridCol w:w="287"/>
        <w:gridCol w:w="9820"/>
      </w:tblGrid>
      <w:tr>
        <w:trPr/>
        <w:tc>
          <w:tcPr>
            <w:tcW w:w="98"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pPr>
            <w:r>
              <w:rPr/>
              <w:t>•</w:t>
            </w:r>
          </w:p>
        </w:tc>
        <w:tc>
          <w:tcPr>
            <w:tcW w:w="9820" w:type="dxa"/>
            <w:tcBorders/>
            <w:vAlign w:val="center"/>
          </w:tcPr>
          <w:p>
            <w:pPr>
              <w:pStyle w:val="TableContents"/>
              <w:bidi w:val="0"/>
              <w:spacing w:before="0" w:after="283"/>
              <w:jc w:val="both"/>
              <w:rPr>
                <w:sz w:val="20"/>
              </w:rPr>
            </w:pPr>
            <w:r>
              <w:rPr>
                <w:sz w:val="20"/>
              </w:rPr>
              <w:t>Gross profit of $27.2 million, increased 55.2%</w:t>
            </w:r>
          </w:p>
        </w:tc>
      </w:tr>
    </w:tbl>
    <w:tbl>
      <w:tblPr>
        <w:tblW w:w="5000" w:type="pct"/>
        <w:jc w:val="left"/>
        <w:tblInd w:w="0" w:type="dxa"/>
        <w:tblLayout w:type="fixed"/>
        <w:tblCellMar>
          <w:top w:w="0" w:type="dxa"/>
          <w:left w:w="0" w:type="dxa"/>
          <w:bottom w:w="0" w:type="dxa"/>
          <w:right w:w="0" w:type="dxa"/>
        </w:tblCellMar>
      </w:tblPr>
      <w:tblGrid>
        <w:gridCol w:w="75"/>
        <w:gridCol w:w="217"/>
        <w:gridCol w:w="9913"/>
      </w:tblGrid>
      <w:tr>
        <w:trPr/>
        <w:tc>
          <w:tcPr>
            <w:tcW w:w="75"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pPr>
            <w:r>
              <w:rPr/>
              <w:t>•</w:t>
            </w:r>
          </w:p>
        </w:tc>
        <w:tc>
          <w:tcPr>
            <w:tcW w:w="9913" w:type="dxa"/>
            <w:tcBorders/>
            <w:vAlign w:val="center"/>
          </w:tcPr>
          <w:p>
            <w:pPr>
              <w:pStyle w:val="TableContents"/>
              <w:bidi w:val="0"/>
              <w:spacing w:before="0" w:after="283"/>
              <w:jc w:val="both"/>
              <w:rPr>
                <w:sz w:val="20"/>
              </w:rPr>
            </w:pPr>
            <w:r>
              <w:rPr>
                <w:sz w:val="20"/>
              </w:rPr>
              <w:t>Net loss of $9.8 million compared to net loss of $17.0 million</w:t>
            </w:r>
          </w:p>
        </w:tc>
      </w:tr>
    </w:tbl>
    <w:tbl>
      <w:tblPr>
        <w:tblW w:w="5000" w:type="pct"/>
        <w:jc w:val="left"/>
        <w:tblInd w:w="0" w:type="dxa"/>
        <w:tblLayout w:type="fixed"/>
        <w:tblCellMar>
          <w:top w:w="0" w:type="dxa"/>
          <w:left w:w="0" w:type="dxa"/>
          <w:bottom w:w="0" w:type="dxa"/>
          <w:right w:w="0" w:type="dxa"/>
        </w:tblCellMar>
      </w:tblPr>
      <w:tblGrid>
        <w:gridCol w:w="63"/>
        <w:gridCol w:w="184"/>
        <w:gridCol w:w="9958"/>
      </w:tblGrid>
      <w:tr>
        <w:trPr/>
        <w:tc>
          <w:tcPr>
            <w:tcW w:w="63"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pPr>
            <w:r>
              <w:rPr/>
              <w:t>•</w:t>
            </w:r>
          </w:p>
        </w:tc>
        <w:tc>
          <w:tcPr>
            <w:tcW w:w="9958" w:type="dxa"/>
            <w:tcBorders/>
            <w:vAlign w:val="center"/>
          </w:tcPr>
          <w:p>
            <w:pPr>
              <w:pStyle w:val="TableContents"/>
              <w:bidi w:val="0"/>
              <w:spacing w:before="0" w:after="283"/>
              <w:jc w:val="both"/>
              <w:rPr>
                <w:sz w:val="20"/>
              </w:rPr>
            </w:pPr>
            <w:r>
              <w:rPr>
                <w:sz w:val="20"/>
              </w:rPr>
              <w:t>Basic and diluted (loss) earnings per share of $(0.08) compared to $(0.15)</w:t>
            </w:r>
          </w:p>
        </w:tc>
      </w:tr>
    </w:tbl>
    <w:tbl>
      <w:tblPr>
        <w:tblW w:w="5000" w:type="pct"/>
        <w:jc w:val="left"/>
        <w:tblInd w:w="0" w:type="dxa"/>
        <w:tblLayout w:type="fixed"/>
        <w:tblCellMar>
          <w:top w:w="0" w:type="dxa"/>
          <w:left w:w="0" w:type="dxa"/>
          <w:bottom w:w="0" w:type="dxa"/>
          <w:right w:w="0" w:type="dxa"/>
        </w:tblCellMar>
      </w:tblPr>
      <w:tblGrid>
        <w:gridCol w:w="62"/>
        <w:gridCol w:w="182"/>
        <w:gridCol w:w="9961"/>
      </w:tblGrid>
      <w:tr>
        <w:trPr/>
        <w:tc>
          <w:tcPr>
            <w:tcW w:w="62"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pPr>
            <w:r>
              <w:rPr/>
              <w:t>•</w:t>
            </w:r>
          </w:p>
        </w:tc>
        <w:tc>
          <w:tcPr>
            <w:tcW w:w="9961" w:type="dxa"/>
            <w:tcBorders/>
            <w:vAlign w:val="center"/>
          </w:tcPr>
          <w:p>
            <w:pPr>
              <w:pStyle w:val="TableContents"/>
              <w:bidi w:val="0"/>
              <w:spacing w:before="0" w:after="283"/>
              <w:jc w:val="both"/>
              <w:rPr>
                <w:sz w:val="20"/>
              </w:rPr>
            </w:pPr>
            <w:r>
              <w:rPr>
                <w:sz w:val="20"/>
              </w:rPr>
              <w:t>Adjusted EBITDA</w:t>
            </w:r>
            <w:r>
              <w:rPr>
                <w:i/>
                <w:sz w:val="20"/>
              </w:rPr>
              <w:t>*</w:t>
            </w:r>
            <w:r>
              <w:rPr>
                <w:sz w:val="20"/>
              </w:rPr>
              <w:t xml:space="preserve"> of positive $229 thousand compared to $(4.1) million</w:t>
            </w:r>
          </w:p>
        </w:tc>
      </w:tr>
    </w:tbl>
    <w:tbl>
      <w:tblPr>
        <w:tblW w:w="5000" w:type="pct"/>
        <w:jc w:val="left"/>
        <w:tblInd w:w="0" w:type="dxa"/>
        <w:tblLayout w:type="fixed"/>
        <w:tblCellMar>
          <w:top w:w="0" w:type="dxa"/>
          <w:left w:w="0" w:type="dxa"/>
          <w:bottom w:w="0" w:type="dxa"/>
          <w:right w:w="0" w:type="dxa"/>
        </w:tblCellMar>
      </w:tblPr>
      <w:tblGrid>
        <w:gridCol w:w="73"/>
        <w:gridCol w:w="211"/>
        <w:gridCol w:w="9921"/>
      </w:tblGrid>
      <w:tr>
        <w:trPr/>
        <w:tc>
          <w:tcPr>
            <w:tcW w:w="7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pPr>
            <w:r>
              <w:rPr/>
              <w:t>•</w:t>
            </w:r>
          </w:p>
        </w:tc>
        <w:tc>
          <w:tcPr>
            <w:tcW w:w="9921" w:type="dxa"/>
            <w:tcBorders/>
            <w:vAlign w:val="center"/>
          </w:tcPr>
          <w:p>
            <w:pPr>
              <w:pStyle w:val="TableContents"/>
              <w:bidi w:val="0"/>
              <w:spacing w:before="0" w:after="283"/>
              <w:jc w:val="both"/>
              <w:rPr>
                <w:sz w:val="20"/>
              </w:rPr>
            </w:pPr>
            <w:r>
              <w:rPr>
                <w:sz w:val="20"/>
              </w:rPr>
              <w:t>Cash and cash equivalents of $41.1 million as of June 30, 2026</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*Adjusted EBITDA is a non-GAAP measure and the reconciliation is included in the Financial Information; Non-GAAP Financial Measures section below.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1" w:right="0" w:firstLine="7"/>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Management Commentary</w:t>
      </w:r>
    </w:p>
    <w:p>
      <w:pPr>
        <w:pStyle w:val="TextBody"/>
        <w:bidi w:val="0"/>
        <w:spacing w:before="0" w:after="0"/>
        <w:ind w:left="11" w:right="0" w:firstLine="7"/>
        <w:jc w:val="both"/>
        <w:rPr>
          <w:caps w:val="false"/>
          <w:smallCaps w:val="false"/>
        </w:rPr>
      </w:pPr>
      <w:r>
        <w:rPr>
          <w:caps w:val="false"/>
          <w:smallCaps w:val="false"/>
        </w:rPr>
        <w:t> </w:t>
      </w:r>
    </w:p>
    <w:p>
      <w:pPr>
        <w:pStyle w:val="TextBody"/>
        <w:bidi w:val="0"/>
        <w:spacing w:before="0" w:after="0"/>
        <w:ind w:left="11" w:right="0" w:firstLine="7"/>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Daniel Virnich, CEO of Starling, commented, "The second quarter of 2026 was a milestone quarter for our company, with revenue up 35% year over year and Adjusted EBITDA turning positive in Q2. We signed our first delegated contracts outside of Florida, in Nevada and Oregon, and reached an exclusivity agreement with one of our largest partners across California. Both of these achievements will drive robust capitated revenue growth going forward. In mid-August, we are launching our new provider portal, Starling Oncology NexusTM, which we expect will deepen provider engagement and further support adherence to our clinical pathways. Given this momentum, we are raising our full-year outlook, and remain confident in our path to sustained positive Adjusted EBITDA as we move forward as Starling Oncology."</w:t>
      </w:r>
    </w:p>
    <w:p>
      <w:pPr>
        <w:pStyle w:val="TextBody"/>
        <w:bidi w:val="0"/>
        <w:spacing w:before="0" w:after="0"/>
        <w:ind w:left="0" w:right="0" w:firstLine="7"/>
        <w:jc w:val="both"/>
        <w:rPr>
          <w:caps w:val="false"/>
          <w:smallCaps w:val="false"/>
        </w:rPr>
      </w:pPr>
      <w:r>
        <w:rPr>
          <w:caps w:val="false"/>
          <w:smallCaps w:val="false"/>
        </w:rPr>
        <w:t> </w:t>
      </w:r>
    </w:p>
    <w:p>
      <w:pPr>
        <w:pStyle w:val="TextBody"/>
        <w:bidi w:val="0"/>
        <w:spacing w:before="0" w:after="0"/>
        <w:ind w:left="0" w:right="0" w:firstLine="7"/>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firstLine="7"/>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Updated Outlook for Fiscal Year 2026</w:t>
      </w:r>
    </w:p>
    <w:p>
      <w:pPr>
        <w:pStyle w:val="TextBody"/>
        <w:bidi w:val="0"/>
        <w:spacing w:before="0" w:after="0"/>
        <w:ind w:left="0" w:right="0" w:firstLine="7"/>
        <w:jc w:val="both"/>
        <w:rPr>
          <w:caps w:val="false"/>
          <w:smallCaps w:val="false"/>
        </w:rPr>
      </w:pPr>
      <w:r>
        <w:rPr>
          <w:caps w:val="false"/>
          <w:smallCaps w:val="false"/>
        </w:rPr>
        <w:t> </w:t>
      </w:r>
    </w:p>
    <w:tbl>
      <w:tblPr>
        <w:tblW w:w="5880" w:type="dxa"/>
        <w:jc w:val="left"/>
        <w:tblInd w:w="-10" w:type="dxa"/>
        <w:tblLayout w:type="fixed"/>
        <w:tblCellMar>
          <w:top w:w="28" w:type="dxa"/>
          <w:left w:w="28" w:type="dxa"/>
          <w:bottom w:w="28" w:type="dxa"/>
          <w:right w:w="0" w:type="dxa"/>
        </w:tblCellMar>
      </w:tblPr>
      <w:tblGrid>
        <w:gridCol w:w="1520"/>
        <w:gridCol w:w="2195"/>
        <w:gridCol w:w="2165"/>
      </w:tblGrid>
      <w:tr>
        <w:trPr/>
        <w:tc>
          <w:tcPr>
            <w:tcW w:w="1520" w:type="dxa"/>
            <w:tcBorders>
              <w:top w:val="single" w:sz="8" w:space="0" w:color="000000"/>
              <w:left w:val="single" w:sz="8" w:space="0" w:color="000000"/>
              <w:bottom w:val="single" w:sz="8" w:space="0" w:color="000000"/>
            </w:tcBorders>
            <w:vAlign w:val="center"/>
          </w:tcPr>
          <w:p>
            <w:pPr>
              <w:pStyle w:val="TableContents"/>
              <w:bidi w:val="0"/>
              <w:spacing w:before="0" w:after="283"/>
              <w:jc w:val="left"/>
              <w:rPr/>
            </w:pPr>
            <w:r>
              <w:rPr/>
              <w:t> </w:t>
            </w:r>
          </w:p>
        </w:tc>
        <w:tc>
          <w:tcPr>
            <w:tcW w:w="2195" w:type="dxa"/>
            <w:tcBorders>
              <w:top w:val="single" w:sz="8" w:space="0" w:color="000000"/>
              <w:left w:val="single" w:sz="8" w:space="0" w:color="000000"/>
              <w:bottom w:val="single" w:sz="8" w:space="0" w:color="000000"/>
            </w:tcBorders>
            <w:tcMar>
              <w:left w:w="53" w:type="dxa"/>
            </w:tcMar>
            <w:vAlign w:val="center"/>
          </w:tcPr>
          <w:p>
            <w:pPr>
              <w:pStyle w:val="TableContents"/>
              <w:bidi w:val="0"/>
              <w:spacing w:lineRule="auto" w:line="237" w:before="0" w:after="283"/>
              <w:jc w:val="center"/>
              <w:rPr>
                <w:b/>
                <w:sz w:val="20"/>
              </w:rPr>
            </w:pPr>
            <w:r>
              <w:rPr>
                <w:b/>
                <w:sz w:val="20"/>
              </w:rPr>
              <w:t>2026 Guidance - Previous</w:t>
            </w:r>
          </w:p>
        </w:tc>
        <w:tc>
          <w:tcPr>
            <w:tcW w:w="2165" w:type="dxa"/>
            <w:tcBorders>
              <w:top w:val="single" w:sz="8" w:space="0" w:color="000000"/>
              <w:left w:val="single" w:sz="8" w:space="0" w:color="000000"/>
              <w:bottom w:val="single" w:sz="8" w:space="0" w:color="000000"/>
              <w:right w:val="single" w:sz="8" w:space="0" w:color="000000"/>
            </w:tcBorders>
            <w:tcMar>
              <w:left w:w="53" w:type="dxa"/>
              <w:right w:w="53" w:type="dxa"/>
            </w:tcMar>
            <w:vAlign w:val="center"/>
          </w:tcPr>
          <w:p>
            <w:pPr>
              <w:pStyle w:val="TableContents"/>
              <w:bidi w:val="0"/>
              <w:spacing w:lineRule="auto" w:line="237" w:before="0" w:after="283"/>
              <w:jc w:val="center"/>
              <w:rPr>
                <w:b/>
                <w:sz w:val="20"/>
              </w:rPr>
            </w:pPr>
            <w:r>
              <w:rPr>
                <w:b/>
                <w:sz w:val="20"/>
              </w:rPr>
              <w:t>2026 Guidance - Updated</w:t>
            </w:r>
          </w:p>
        </w:tc>
      </w:tr>
      <w:tr>
        <w:trPr/>
        <w:tc>
          <w:tcPr>
            <w:tcW w:w="1520" w:type="dxa"/>
            <w:tcBorders>
              <w:left w:val="single" w:sz="8" w:space="0" w:color="000000"/>
              <w:bottom w:val="single" w:sz="8" w:space="0" w:color="000000"/>
            </w:tcBorders>
            <w:tcMar>
              <w:top w:w="0" w:type="dxa"/>
              <w:left w:w="53" w:type="dxa"/>
            </w:tcMar>
            <w:vAlign w:val="center"/>
          </w:tcPr>
          <w:p>
            <w:pPr>
              <w:pStyle w:val="TableContents"/>
              <w:bidi w:val="0"/>
              <w:spacing w:lineRule="auto" w:line="237" w:before="0" w:after="283"/>
              <w:jc w:val="left"/>
              <w:rPr>
                <w:sz w:val="20"/>
              </w:rPr>
            </w:pPr>
            <w:r>
              <w:rPr>
                <w:sz w:val="20"/>
              </w:rPr>
              <w:t xml:space="preserve">Revenue </w:t>
            </w:r>
          </w:p>
        </w:tc>
        <w:tc>
          <w:tcPr>
            <w:tcW w:w="2195" w:type="dxa"/>
            <w:tcBorders>
              <w:left w:val="single" w:sz="8" w:space="0" w:color="000000"/>
              <w:bottom w:val="single" w:sz="8" w:space="0" w:color="000000"/>
            </w:tcBorders>
            <w:tcMar>
              <w:top w:w="0" w:type="dxa"/>
              <w:left w:w="53" w:type="dxa"/>
            </w:tcMar>
            <w:vAlign w:val="center"/>
          </w:tcPr>
          <w:p>
            <w:pPr>
              <w:pStyle w:val="TableContents"/>
              <w:bidi w:val="0"/>
              <w:spacing w:lineRule="auto" w:line="237" w:before="0" w:after="283"/>
              <w:jc w:val="center"/>
              <w:rPr>
                <w:sz w:val="20"/>
              </w:rPr>
            </w:pPr>
            <w:r>
              <w:rPr>
                <w:sz w:val="20"/>
              </w:rPr>
              <w:t>$630 to $650 million</w:t>
            </w:r>
          </w:p>
        </w:tc>
        <w:tc>
          <w:tcPr>
            <w:tcW w:w="2165" w:type="dxa"/>
            <w:tcBorders>
              <w:left w:val="single" w:sz="8" w:space="0" w:color="000000"/>
              <w:bottom w:val="single" w:sz="8" w:space="0" w:color="000000"/>
              <w:right w:val="single" w:sz="8" w:space="0" w:color="000000"/>
            </w:tcBorders>
            <w:tcMar>
              <w:top w:w="0" w:type="dxa"/>
              <w:left w:w="53" w:type="dxa"/>
              <w:right w:w="53" w:type="dxa"/>
            </w:tcMar>
            <w:vAlign w:val="center"/>
          </w:tcPr>
          <w:p>
            <w:pPr>
              <w:pStyle w:val="TableContents"/>
              <w:bidi w:val="0"/>
              <w:spacing w:lineRule="auto" w:line="237" w:before="0" w:after="283"/>
              <w:jc w:val="center"/>
              <w:rPr>
                <w:sz w:val="20"/>
              </w:rPr>
            </w:pPr>
            <w:r>
              <w:rPr>
                <w:sz w:val="20"/>
              </w:rPr>
              <w:t>$650 to $670 million</w:t>
            </w:r>
          </w:p>
        </w:tc>
      </w:tr>
      <w:tr>
        <w:trPr/>
        <w:tc>
          <w:tcPr>
            <w:tcW w:w="1520" w:type="dxa"/>
            <w:tcBorders>
              <w:left w:val="single" w:sz="8" w:space="0" w:color="000000"/>
              <w:bottom w:val="single" w:sz="8" w:space="0" w:color="000000"/>
            </w:tcBorders>
            <w:tcMar>
              <w:top w:w="0" w:type="dxa"/>
              <w:left w:w="53" w:type="dxa"/>
            </w:tcMar>
            <w:vAlign w:val="center"/>
          </w:tcPr>
          <w:p>
            <w:pPr>
              <w:pStyle w:val="TableContents"/>
              <w:bidi w:val="0"/>
              <w:spacing w:lineRule="auto" w:line="237" w:before="0" w:after="283"/>
              <w:jc w:val="left"/>
              <w:rPr>
                <w:sz w:val="20"/>
              </w:rPr>
            </w:pPr>
            <w:r>
              <w:rPr>
                <w:sz w:val="20"/>
              </w:rPr>
              <w:t>Gross Profit</w:t>
            </w:r>
          </w:p>
        </w:tc>
        <w:tc>
          <w:tcPr>
            <w:tcW w:w="2195" w:type="dxa"/>
            <w:tcBorders>
              <w:left w:val="single" w:sz="8" w:space="0" w:color="000000"/>
              <w:bottom w:val="single" w:sz="8" w:space="0" w:color="000000"/>
            </w:tcBorders>
            <w:tcMar>
              <w:top w:w="0" w:type="dxa"/>
              <w:left w:w="53" w:type="dxa"/>
            </w:tcMar>
            <w:vAlign w:val="center"/>
          </w:tcPr>
          <w:p>
            <w:pPr>
              <w:pStyle w:val="TableContents"/>
              <w:bidi w:val="0"/>
              <w:spacing w:lineRule="auto" w:line="237" w:before="0" w:after="283"/>
              <w:jc w:val="center"/>
              <w:rPr>
                <w:sz w:val="20"/>
              </w:rPr>
            </w:pPr>
            <w:r>
              <w:rPr>
                <w:sz w:val="20"/>
              </w:rPr>
              <w:t>$97 to $107 million</w:t>
            </w:r>
          </w:p>
        </w:tc>
        <w:tc>
          <w:tcPr>
            <w:tcW w:w="2165" w:type="dxa"/>
            <w:tcBorders>
              <w:left w:val="single" w:sz="8" w:space="0" w:color="000000"/>
              <w:bottom w:val="single" w:sz="8" w:space="0" w:color="000000"/>
              <w:right w:val="single" w:sz="8" w:space="0" w:color="000000"/>
            </w:tcBorders>
            <w:tcMar>
              <w:top w:w="0" w:type="dxa"/>
              <w:left w:w="53" w:type="dxa"/>
              <w:right w:w="53" w:type="dxa"/>
            </w:tcMar>
            <w:vAlign w:val="center"/>
          </w:tcPr>
          <w:p>
            <w:pPr>
              <w:pStyle w:val="TableContents"/>
              <w:bidi w:val="0"/>
              <w:spacing w:lineRule="auto" w:line="237" w:before="0" w:after="283"/>
              <w:jc w:val="center"/>
              <w:rPr>
                <w:sz w:val="20"/>
              </w:rPr>
            </w:pPr>
            <w:r>
              <w:rPr>
                <w:sz w:val="20"/>
              </w:rPr>
              <w:t>$105 to $110 million</w:t>
            </w:r>
          </w:p>
        </w:tc>
      </w:tr>
      <w:tr>
        <w:trPr/>
        <w:tc>
          <w:tcPr>
            <w:tcW w:w="1520" w:type="dxa"/>
            <w:tcBorders>
              <w:left w:val="single" w:sz="8" w:space="0" w:color="000000"/>
              <w:bottom w:val="single" w:sz="8" w:space="0" w:color="000000"/>
            </w:tcBorders>
            <w:tcMar>
              <w:top w:w="0" w:type="dxa"/>
              <w:left w:w="53" w:type="dxa"/>
            </w:tcMar>
            <w:vAlign w:val="center"/>
          </w:tcPr>
          <w:p>
            <w:pPr>
              <w:pStyle w:val="TableContents"/>
              <w:bidi w:val="0"/>
              <w:spacing w:lineRule="auto" w:line="237" w:before="0" w:after="283"/>
              <w:jc w:val="left"/>
              <w:rPr>
                <w:sz w:val="20"/>
              </w:rPr>
            </w:pPr>
            <w:r>
              <w:rPr>
                <w:sz w:val="20"/>
              </w:rPr>
              <w:t>Adjusted EBITDA</w:t>
            </w:r>
          </w:p>
        </w:tc>
        <w:tc>
          <w:tcPr>
            <w:tcW w:w="2195" w:type="dxa"/>
            <w:tcBorders>
              <w:left w:val="single" w:sz="8" w:space="0" w:color="000000"/>
              <w:bottom w:val="single" w:sz="8" w:space="0" w:color="000000"/>
            </w:tcBorders>
            <w:tcMar>
              <w:top w:w="0" w:type="dxa"/>
              <w:left w:w="53" w:type="dxa"/>
            </w:tcMar>
            <w:vAlign w:val="center"/>
          </w:tcPr>
          <w:p>
            <w:pPr>
              <w:pStyle w:val="TableContents"/>
              <w:bidi w:val="0"/>
              <w:spacing w:lineRule="auto" w:line="237" w:before="0" w:after="283"/>
              <w:jc w:val="center"/>
              <w:rPr>
                <w:sz w:val="20"/>
              </w:rPr>
            </w:pPr>
            <w:r>
              <w:rPr>
                <w:sz w:val="20"/>
              </w:rPr>
              <w:t>$0 to $9 million</w:t>
            </w:r>
          </w:p>
        </w:tc>
        <w:tc>
          <w:tcPr>
            <w:tcW w:w="2165" w:type="dxa"/>
            <w:tcBorders>
              <w:left w:val="single" w:sz="8" w:space="0" w:color="000000"/>
              <w:bottom w:val="single" w:sz="8" w:space="0" w:color="000000"/>
              <w:right w:val="single" w:sz="8" w:space="0" w:color="000000"/>
            </w:tcBorders>
            <w:tcMar>
              <w:top w:w="0" w:type="dxa"/>
              <w:left w:w="53" w:type="dxa"/>
              <w:right w:w="53" w:type="dxa"/>
            </w:tcMar>
            <w:vAlign w:val="center"/>
          </w:tcPr>
          <w:p>
            <w:pPr>
              <w:pStyle w:val="TableContents"/>
              <w:bidi w:val="0"/>
              <w:spacing w:lineRule="auto" w:line="237" w:before="0" w:after="283"/>
              <w:jc w:val="center"/>
              <w:rPr>
                <w:sz w:val="20"/>
              </w:rPr>
            </w:pPr>
            <w:r>
              <w:rPr>
                <w:sz w:val="20"/>
              </w:rPr>
              <w:t>$2 to $7 million</w:t>
            </w:r>
          </w:p>
        </w:tc>
      </w:tr>
      <w:tr>
        <w:trPr/>
        <w:tc>
          <w:tcPr>
            <w:tcW w:w="1520" w:type="dxa"/>
            <w:tcBorders>
              <w:left w:val="single" w:sz="8" w:space="0" w:color="000000"/>
              <w:bottom w:val="single" w:sz="8" w:space="0" w:color="000000"/>
            </w:tcBorders>
            <w:tcMar>
              <w:top w:w="0" w:type="dxa"/>
              <w:left w:w="53" w:type="dxa"/>
            </w:tcMar>
            <w:vAlign w:val="center"/>
          </w:tcPr>
          <w:p>
            <w:pPr>
              <w:pStyle w:val="TableContents"/>
              <w:bidi w:val="0"/>
              <w:spacing w:lineRule="auto" w:line="237" w:before="0" w:after="283"/>
              <w:jc w:val="left"/>
              <w:rPr>
                <w:sz w:val="20"/>
              </w:rPr>
            </w:pPr>
            <w:r>
              <w:rPr>
                <w:sz w:val="20"/>
              </w:rPr>
              <w:t>Free Cash Flow</w:t>
            </w:r>
          </w:p>
        </w:tc>
        <w:tc>
          <w:tcPr>
            <w:tcW w:w="2195" w:type="dxa"/>
            <w:tcBorders>
              <w:left w:val="single" w:sz="8" w:space="0" w:color="000000"/>
              <w:bottom w:val="single" w:sz="8" w:space="0" w:color="000000"/>
            </w:tcBorders>
            <w:tcMar>
              <w:top w:w="0" w:type="dxa"/>
              <w:left w:w="53" w:type="dxa"/>
            </w:tcMar>
            <w:vAlign w:val="center"/>
          </w:tcPr>
          <w:p>
            <w:pPr>
              <w:pStyle w:val="TableContents"/>
              <w:bidi w:val="0"/>
              <w:spacing w:lineRule="auto" w:line="237" w:before="0" w:after="283"/>
              <w:jc w:val="center"/>
              <w:rPr>
                <w:sz w:val="20"/>
              </w:rPr>
            </w:pPr>
            <w:r>
              <w:rPr>
                <w:sz w:val="20"/>
              </w:rPr>
              <w:t>$5 to $15 million</w:t>
            </w:r>
          </w:p>
        </w:tc>
        <w:tc>
          <w:tcPr>
            <w:tcW w:w="2165" w:type="dxa"/>
            <w:tcBorders>
              <w:left w:val="single" w:sz="8" w:space="0" w:color="000000"/>
              <w:bottom w:val="single" w:sz="8" w:space="0" w:color="000000"/>
              <w:right w:val="single" w:sz="8" w:space="0" w:color="000000"/>
            </w:tcBorders>
            <w:tcMar>
              <w:top w:w="0" w:type="dxa"/>
              <w:left w:w="53" w:type="dxa"/>
              <w:right w:w="53" w:type="dxa"/>
            </w:tcMar>
            <w:vAlign w:val="center"/>
          </w:tcPr>
          <w:p>
            <w:pPr>
              <w:pStyle w:val="TableContents"/>
              <w:bidi w:val="0"/>
              <w:spacing w:lineRule="auto" w:line="237" w:before="0" w:after="283"/>
              <w:jc w:val="center"/>
              <w:rPr>
                <w:sz w:val="20"/>
              </w:rPr>
            </w:pPr>
            <w:r>
              <w:rPr>
                <w:sz w:val="20"/>
              </w:rPr>
              <w:t>Unchanged</w:t>
            </w:r>
          </w:p>
        </w:tc>
      </w:tr>
    </w:tbl>
    <w:p>
      <w:pPr>
        <w:pStyle w:val="TextBody"/>
        <w:bidi w:val="0"/>
        <w:spacing w:before="0" w:after="0"/>
        <w:ind w:left="0" w:right="0" w:firstLine="7"/>
        <w:jc w:val="left"/>
        <w:rPr>
          <w:caps w:val="false"/>
          <w:smallCaps w:val="false"/>
        </w:rPr>
      </w:pPr>
      <w:r>
        <w:rPr>
          <w:caps w:val="false"/>
          <w:smallCaps w:val="false"/>
        </w:rPr>
        <w:t> </w:t>
      </w:r>
    </w:p>
    <w:p>
      <w:pPr>
        <w:pStyle w:val="TextBody"/>
        <w:bidi w:val="0"/>
        <w:spacing w:before="0" w:after="0"/>
        <w:ind w:left="0" w:right="0" w:firstLine="7"/>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The Company uses Adjusted EBITDA, Medical Loss Ratio (MLR), and Free Cash flow, each a non-GAAP measure, as an additional tool to assess its operational and financial performance. See "Financial Information: Non-GAAP Financial Measures" below. In reliance on the unreasonable efforts exception provided under Regulation S-K, STLN is not reasonably able to provide a quantitative reconciliation for forward-looking information of Adjusted EBITDA, MLR and Free Cash flow to net (loss) income and net cash provided by operations, respectively, the most directly comparable GAAP financial measures, without unreasonable efforts due to uncertainties regarding capitated lives, direct costs, taxes, capital expenditures, share-based compensation, change in fair value of liabilities, unrealized (gains) losses on investments, consulting and legal fees, transaction costs and other non-cash items. The variability of these items could have an unpredictable, and potentially significant, impact on STLN’s future GAAP financial results.</w:t>
      </w:r>
    </w:p>
    <w:p>
      <w:pPr>
        <w:pStyle w:val="TextBody"/>
        <w:bidi w:val="0"/>
        <w:spacing w:before="0" w:after="0"/>
        <w:ind w:left="0" w:right="0" w:firstLine="7"/>
        <w:jc w:val="left"/>
        <w:rPr>
          <w:caps w:val="false"/>
          <w:smallCaps w:val="false"/>
        </w:rPr>
      </w:pPr>
      <w:r>
        <w:rPr>
          <w:caps w:val="false"/>
          <w:smallCaps w:val="false"/>
        </w:rPr>
        <w:t> </w:t>
      </w:r>
    </w:p>
    <w:p>
      <w:pPr>
        <w:pStyle w:val="TextBody"/>
        <w:bidi w:val="0"/>
        <w:spacing w:before="0" w:after="0"/>
        <w:ind w:left="0" w:right="0" w:firstLine="7"/>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expects approximately $150 million in capitated revenue in 2026. The Company also anticipates that Medical Loss Ratio, discussed under “Financial Information; Non-GAAP Financial Measures” below, will be in the range of 80% to 90% in the next twelve months.</w:t>
      </w:r>
    </w:p>
    <w:p>
      <w:pPr>
        <w:pStyle w:val="TextBody"/>
        <w:bidi w:val="0"/>
        <w:spacing w:before="0" w:after="0"/>
        <w:ind w:left="0" w:right="0" w:firstLine="7"/>
        <w:jc w:val="left"/>
        <w:rPr>
          <w:caps w:val="false"/>
          <w:smallCaps w:val="false"/>
        </w:rPr>
      </w:pPr>
      <w:r>
        <w:rPr>
          <w:caps w:val="false"/>
          <w:smallCaps w:val="false"/>
        </w:rPr>
        <w:t> </w:t>
      </w:r>
    </w:p>
    <w:p>
      <w:pPr>
        <w:pStyle w:val="TextBody"/>
        <w:bidi w:val="0"/>
        <w:spacing w:before="0" w:after="0"/>
        <w:ind w:left="0" w:right="0" w:firstLine="7"/>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Third Quarter of 2026 Outlook</w:t>
      </w:r>
    </w:p>
    <w:p>
      <w:pPr>
        <w:pStyle w:val="TextBody"/>
        <w:bidi w:val="0"/>
        <w:spacing w:before="0" w:after="0"/>
        <w:ind w:left="0" w:right="0" w:firstLine="7"/>
        <w:jc w:val="left"/>
        <w:rPr>
          <w:caps w:val="false"/>
          <w:smallCaps w:val="false"/>
        </w:rPr>
      </w:pPr>
      <w:r>
        <w:rPr>
          <w:caps w:val="false"/>
          <w:smallCaps w:val="false"/>
        </w:rPr>
        <w:t> </w:t>
      </w:r>
    </w:p>
    <w:p>
      <w:pPr>
        <w:pStyle w:val="TextBody"/>
        <w:bidi w:val="0"/>
        <w:spacing w:before="0" w:after="0"/>
        <w:ind w:left="0" w:right="0" w:firstLine="7"/>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third quarter of 2026, we anticipate Adjusted EBITDA of $500 thousand to $1.5 million, as the Company onboards and ramps our Florida delegated lives.</w:t>
      </w:r>
    </w:p>
    <w:p>
      <w:pPr>
        <w:pStyle w:val="TextBody"/>
        <w:bidi w:val="0"/>
        <w:spacing w:before="0" w:after="0"/>
        <w:ind w:left="0" w:right="0" w:firstLine="7"/>
        <w:jc w:val="left"/>
        <w:rPr>
          <w:caps w:val="false"/>
          <w:smallCaps w:val="false"/>
        </w:rPr>
      </w:pPr>
      <w:r>
        <w:rPr>
          <w:caps w:val="false"/>
          <w:smallCaps w:val="false"/>
        </w:rPr>
        <w:t> </w:t>
      </w:r>
    </w:p>
    <w:p>
      <w:pPr>
        <w:pStyle w:val="TextBody"/>
        <w:bidi w:val="0"/>
        <w:spacing w:before="0" w:after="0"/>
        <w:ind w:left="0" w:right="0" w:firstLine="7"/>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outlook does not take into account the impact of any unanticipated developments in the business or changes in the operating or economic environment, nor does it take into account the impact of STLN's acquisitions, dispositions or financings. STLN's outlook assumes a largely stable global market, which would likely be negatively impacted if recent tariff rate increases and exchange rate changes persist and adversely affect world trade. The outlook information included in this press release represents management's current estimates as of the date of this release. Actual results may differ materially depending on a number of factors. Investors are urged to read the Forward-Looking Statements included in this release. Management does not assume any obligation to update these estimates other than as required by applicable law.</w:t>
      </w:r>
    </w:p>
    <w:p>
      <w:pPr>
        <w:pStyle w:val="TextBody"/>
        <w:bidi w:val="0"/>
        <w:spacing w:before="0" w:after="0"/>
        <w:ind w:left="0" w:right="0" w:firstLine="7"/>
        <w:jc w:val="left"/>
        <w:rPr>
          <w:caps w:val="false"/>
          <w:smallCaps w:val="false"/>
        </w:rPr>
      </w:pPr>
      <w:r>
        <w:rPr>
          <w:caps w:val="false"/>
          <w:smallCaps w:val="false"/>
        </w:rPr>
        <w:t> </w:t>
      </w:r>
    </w:p>
    <w:p>
      <w:pPr>
        <w:pStyle w:val="TextBody"/>
        <w:bidi w:val="0"/>
        <w:spacing w:before="0" w:after="0"/>
        <w:ind w:left="0" w:right="0" w:firstLine="7"/>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Webcast and Conference Call</w:t>
      </w:r>
    </w:p>
    <w:p>
      <w:pPr>
        <w:pStyle w:val="TextBody"/>
        <w:bidi w:val="0"/>
        <w:spacing w:before="0" w:after="0"/>
        <w:ind w:left="0" w:right="0" w:firstLine="7"/>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STLN will host a conference call on Thursday, August 6, 2026 at 5:30 p.m. (Eastern Time) to discuss second quarter results and management’s outlook for future financial and operational performance.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conference call can be accessed live over the phone by dialing 1-800-225-9448, or for international callers, 1-203-518-9708. A replay will be available two hours after the call and can be accessed by dialing 1-844-512-2921, or for international callers, 1-412-317-6671. The passcode for the live call and the replay is 11161701. The replay will be available until Thursday, August 20, 2026.</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About The Oncology Institute, Inc.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Founded in 2007, Starling Oncology, Inc. (NASDAQ: STLN) is advancing oncology by delivering highly specialized, value-based cancer care in the community setting. Formerly known as The Oncology Institute, Starling Oncology offers cutting-edge, evidence-based cancer care to a population of approximately 2.1 million patients including clinical trials, transfusions, and other care delivery models traditionally associated with the most advanced care delivery organizations. With over 400 employed and network clinicians and over 100 clinics and network locations of care across five states and growing, Starling Oncology is coordinating cancer care for the better. For more information visit www.starlingoncology.com. Please follow us on LinkedIn, X (formerly Twitter), or Bluesky.</w:t>
      </w:r>
    </w:p>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Forward-Looking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press release includes contains forward-looking statements within the meaning of the Private Securities Litigation Reform Act of 1995, Section 27A of the Securities Act of 1933, as amended (the “Securities Act”) and Section 21E of the Securities Exchange Act of 1934, as amended (the “Exchange Act”). All statements other than statements of historical fact are statements that could be deemed forward-looking statements. Forward-looking statements generally may be identified by words such as “preliminary,” “believe,” “may,” “will,” “estimate,” “continue,” “anticipate,” “intend,” “expect,” “should,” “would,” “plan,” “project,” “predict,” “potential,” “guidance,” “approximately,” “seem,” “seek,” “future,” “outlook,” and similar expressions that predict or indicate future events or trends or that are not statements of historical matters. These forward-looking statements include, but are not limited to, statements regarding projections, anticipated financial results, estimates and forecasts of revenue and other financial and performance metrics and projections of market opportunity and expectations. These statements are based on various assumptions and on the current expectations of STLN and are not predictions of actual performance. These forward-looking statements must not be relied on by anyone as, a guarantee, an assurance, a prediction or a definitive statement of fact or probability. Actual events and circumstances are difficult or impossible to predict and will differ from assumptions. Many actual events and circumstances are beyond the control of STLN. These forward-looking statements are subject to a number of risks and uncertainties, including the accuracy of the assumptions underlying the 2026 full fiscal year outlook and the Q3 2026 outlook with respect to Adjusted EBITDA discussed herein, the outcome of judicial and administrative proceedings to which STLN may become a party or investigations to which STLN may become or is subject that could interrupt or limit STLN’s operations, result in adverse judgments, settlements or fines and create negative publicity; changes in STLN’s patient or payors' preferences, prospects and the competitive conditions prevailing in the healthcare sector; failure to continue to meet stock exchange listing standards; the impact of a cybersecurity incident affecting a software provider on STLN’s business; and those factors discussed in the documents of STLN has filed, or will file, with the SEC, including the Item 1A. "Risk Factors" section of STLN's Annual Report on Form 10-K for the year ended December 31, 2025 filed with the SEC on March 12, 2026 and any subsequent filed Quarterly Reports on Form 10-Q or Current Reports on Form 8-K. If these risks materialize or STLN’s assumptions prove incorrect, actual results could differ materially from the results implied by these forward-looking statements. There may be additional risks that STLN currently is evaluating or does not presently know, or that STLN currently believes are immaterial that could also cause actual results to differ from those contained in the forward-looking statements. In addition, forward-looking statements reflect STLN’s plans or forecasts of future events and views as of the date of this press release. STLN anticipates that subsequent events and developments will cause STLN’s assessments to change. STLN does not undertake any obligation to update any of these forward-looking statements other than as required by applicable law. These forward-looking statements speak only as of the date of this press release and are subject to a number of important factors that could cause actual results to differ materially from those in the forward-looking statements and readers are cautioned to not place undue reliance on these forward looking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Financial Information; Non-GAAP Financial Measures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STLN uses certain financial information and data, such as Adjusted EBITDA, Medical Loss Ratio (MLR), and Free Cash Flow, that have not been prepared in accordance with United States generally accepted accounting principles (“GAAP”) when reporting and discussing its financial results. STLN’s non-GAAP financial measures may not be comparable to similarly titled non-GAAP financial measures used by other companies. The presentation of non-GAAP financial measures is not intended to be considered in isolation or as a substitute for, or superior to, financial measures determined in accordance with GAAP. Because of the limitations of non-GAAP financial measures, you should consider the non-GAAP financial measures presented in this press release in conjunction with STLN’s financial statements and the related notes thereto.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Medical Loss Ratio (MLR)</w:t>
      </w:r>
      <w:r>
        <w:rPr>
          <w:rFonts w:ascii="Times New Roman;Times;Serif" w:hAnsi="Times New Roman;Times;Serif"/>
          <w:b w:val="false"/>
          <w:i w:val="false"/>
          <w:caps w:val="false"/>
          <w:smallCaps w:val="false"/>
          <w:sz w:val="20"/>
        </w:rPr>
        <w:t>: STLN defines MLR as our total direct costs related to capitated contracts divided by the total capitated revenue.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STLN believes that the use of Medical Loss Ratio (MLR) provides management with an additional tool to assess our operational efficiency and commitment to value, to plan and forecast future periods, and to understand the factors and trends in our premium spending. The MLR is utilized by peers across the health industry, and we believe it is helpful to investors in measuring our financial performance and comparing our performance to other health providers. The principal limitation of MLR is that its calculation, relies on definitions and allocations that require management's judgment and may not capture all nuances of our administrative efficiency or investment in long-term infrastructure. Direct Costs for capitation include clinical payroll, IV drug costs, network medical expense, and medical supplies.</w:t>
      </w:r>
    </w:p>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Free Cash Flow</w:t>
      </w:r>
      <w:r>
        <w:rPr>
          <w:rFonts w:ascii="Times New Roman;Times;Serif" w:hAnsi="Times New Roman;Times;Serif"/>
          <w:b w:val="false"/>
          <w:i w:val="false"/>
          <w:caps w:val="false"/>
          <w:smallCaps w:val="false"/>
          <w:sz w:val="20"/>
        </w:rPr>
        <w:t>: STLN defines Free Cash Flow as net cash flow provided by (used in) operations plus cash paid for interest, less capital expenditures. STLN believes that the use of Free Cash Flow provides management with an additional tool to assess the Company's financial performance, evaluate its ability to generate cash from operations, and plan for future investments and obligations. Free Cash Flow is useful in understanding the cash available for strategic initiatives. We believe that Free Cash Flow is helpful to investors in measuring our financial performance and comparing our performance to our peers. Free Cash Flow has important limitations as an analytical tool, and should not be considered in isolation, or as a substitute for analysis of our results as reported under GAAP.</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Adjusted EBITDA: </w:t>
      </w:r>
      <w:r>
        <w:rPr>
          <w:rFonts w:ascii="Times New Roman;Times;Serif" w:hAnsi="Times New Roman;Times;Serif"/>
          <w:b w:val="false"/>
          <w:i w:val="false"/>
          <w:caps w:val="false"/>
          <w:smallCaps w:val="false"/>
          <w:sz w:val="20"/>
        </w:rPr>
        <w:t>STLN defines Adjusted EBITDA as net (loss) income plus depreciation, amortization, interest, taxes, non-cash add-backs comprised of one-time write-offs and non-cash rent expense , share-based compensation, goodwill impairment charges, change in fair value of liabilities, unrealized gains or losses on investments and other adjustments to add-back the following: consulting and legal fees related to acquisitions, one-time consulting and legal fees related to certain advisory projects, software implementations and debt or equity financings, severance expense and temporary labor and recruiting charges to build out our corporate infrastructure.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STLN believes that the use of Adjusted EBITDA provides management with an additional tool to assess our operations and results of our performance, to plan and forecast future periods, and factors and trends. We believe that Adjusted EBITDA is helpful to investors in measuring our financial performance and comparing our performance to our peers. Adjusted EBITDA has important limitations as an analytical tool, and should not be considered in isolation, or as a substitute for analysis of our results as reported under GAAP.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reconciliation of total direct costs and revenue related to capitated contracts to MLR, net cash flow provided by (used in) operations to Free Cash Flow, and net loss to Adjusted EBITDA, the most comparable GAAP metrics, is set forth below:</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635"/>
        <w:gridCol w:w="60"/>
        <w:gridCol w:w="143"/>
        <w:gridCol w:w="778"/>
        <w:gridCol w:w="267"/>
        <w:gridCol w:w="60"/>
        <w:gridCol w:w="143"/>
        <w:gridCol w:w="778"/>
        <w:gridCol w:w="260"/>
        <w:gridCol w:w="60"/>
        <w:gridCol w:w="140"/>
        <w:gridCol w:w="680"/>
        <w:gridCol w:w="60"/>
        <w:gridCol w:w="60"/>
        <w:gridCol w:w="60"/>
        <w:gridCol w:w="515"/>
        <w:gridCol w:w="1506"/>
      </w:tblGrid>
      <w:tr>
        <w:trPr/>
        <w:tc>
          <w:tcPr>
            <w:tcW w:w="10205" w:type="dxa"/>
            <w:gridSpan w:val="17"/>
            <w:tcBorders/>
            <w:vAlign w:val="center"/>
          </w:tcPr>
          <w:p>
            <w:pPr>
              <w:pStyle w:val="TableContents"/>
              <w:bidi w:val="0"/>
              <w:spacing w:before="0" w:after="283"/>
              <w:jc w:val="center"/>
              <w:rPr>
                <w:b/>
                <w:sz w:val="16"/>
              </w:rPr>
            </w:pPr>
            <w:r>
              <w:rPr>
                <w:b/>
                <w:sz w:val="16"/>
              </w:rPr>
              <w:t>Medical Loss Ratio (MLR)</w:t>
            </w:r>
          </w:p>
        </w:tc>
      </w:tr>
      <w:tr>
        <w:trPr/>
        <w:tc>
          <w:tcPr>
            <w:tcW w:w="10205" w:type="dxa"/>
            <w:gridSpan w:val="17"/>
            <w:tcBorders/>
            <w:vAlign w:val="center"/>
          </w:tcPr>
          <w:p>
            <w:pPr>
              <w:pStyle w:val="TableContents"/>
              <w:bidi w:val="0"/>
              <w:spacing w:before="0" w:after="283"/>
              <w:jc w:val="center"/>
              <w:rPr/>
            </w:pPr>
            <w:r>
              <w:rPr/>
              <w:t> </w:t>
            </w:r>
          </w:p>
        </w:tc>
      </w:tr>
      <w:tr>
        <w:trPr/>
        <w:tc>
          <w:tcPr>
            <w:tcW w:w="46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69" w:type="dxa"/>
            <w:gridSpan w:val="6"/>
            <w:tcBorders>
              <w:bottom w:val="single" w:sz="8" w:space="0" w:color="000000"/>
            </w:tcBorders>
            <w:tcMar>
              <w:bottom w:w="28" w:type="dxa"/>
            </w:tcMar>
            <w:vAlign w:val="center"/>
          </w:tcPr>
          <w:p>
            <w:pPr>
              <w:pStyle w:val="TableContents"/>
              <w:bidi w:val="0"/>
              <w:spacing w:before="0" w:after="283"/>
              <w:jc w:val="center"/>
              <w:rPr>
                <w:b/>
                <w:sz w:val="16"/>
              </w:rPr>
            </w:pPr>
            <w:r>
              <w:rPr>
                <w:b/>
                <w:sz w:val="16"/>
              </w:rPr>
              <w:t>Three Months Ended June 30,</w:t>
            </w:r>
          </w:p>
        </w:tc>
        <w:tc>
          <w:tcPr>
            <w:tcW w:w="2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15" w:type="dxa"/>
            <w:gridSpan w:val="6"/>
            <w:tcBorders>
              <w:bottom w:val="single" w:sz="8" w:space="0" w:color="000000"/>
            </w:tcBorders>
            <w:tcMar>
              <w:bottom w:w="28" w:type="dxa"/>
            </w:tcMar>
            <w:vAlign w:val="center"/>
          </w:tcPr>
          <w:p>
            <w:pPr>
              <w:pStyle w:val="TableContents"/>
              <w:bidi w:val="0"/>
              <w:spacing w:before="0" w:after="283"/>
              <w:jc w:val="center"/>
              <w:rPr>
                <w:b/>
                <w:sz w:val="16"/>
              </w:rPr>
            </w:pPr>
            <w:r>
              <w:rPr>
                <w:b/>
                <w:sz w:val="16"/>
              </w:rPr>
              <w:t>Change</w:t>
            </w:r>
          </w:p>
        </w:tc>
        <w:tc>
          <w:tcPr>
            <w:tcW w:w="1506" w:type="dxa"/>
            <w:tcBorders/>
            <w:vAlign w:val="center"/>
          </w:tcPr>
          <w:p>
            <w:pPr>
              <w:pStyle w:val="TableContents"/>
              <w:bidi w:val="0"/>
              <w:spacing w:before="0" w:after="283"/>
              <w:jc w:val="left"/>
              <w:rPr/>
            </w:pPr>
            <w:r>
              <w:rPr/>
              <w:t> </w:t>
            </w:r>
          </w:p>
        </w:tc>
      </w:tr>
      <w:tr>
        <w:trPr/>
        <w:tc>
          <w:tcPr>
            <w:tcW w:w="4635" w:type="dxa"/>
            <w:tcBorders>
              <w:bottom w:val="single" w:sz="8" w:space="0" w:color="000000"/>
            </w:tcBorders>
            <w:tcMar>
              <w:bottom w:w="28" w:type="dxa"/>
            </w:tcMar>
            <w:vAlign w:val="center"/>
          </w:tcPr>
          <w:p>
            <w:pPr>
              <w:pStyle w:val="TableContents"/>
              <w:bidi w:val="0"/>
              <w:spacing w:before="0" w:after="283"/>
              <w:jc w:val="left"/>
              <w:rPr>
                <w:i/>
                <w:sz w:val="16"/>
              </w:rPr>
            </w:pPr>
            <w:r>
              <w:rPr>
                <w:i/>
                <w:sz w:val="16"/>
              </w:rPr>
              <w:t>(dollars in thousands)</w:t>
            </w:r>
          </w:p>
        </w:tc>
        <w:tc>
          <w:tcPr>
            <w:tcW w:w="60" w:type="dxa"/>
            <w:tcBorders/>
            <w:vAlign w:val="center"/>
          </w:tcPr>
          <w:p>
            <w:pPr>
              <w:pStyle w:val="TableContents"/>
              <w:bidi w:val="0"/>
              <w:spacing w:before="0" w:after="283"/>
              <w:jc w:val="left"/>
              <w:rPr/>
            </w:pPr>
            <w:r>
              <w:rPr/>
              <w:t> </w:t>
            </w:r>
          </w:p>
        </w:tc>
        <w:tc>
          <w:tcPr>
            <w:tcW w:w="921" w:type="dxa"/>
            <w:gridSpan w:val="2"/>
            <w:tcBorders>
              <w:bottom w:val="single" w:sz="8" w:space="0" w:color="000000"/>
            </w:tcBorders>
            <w:tcMar>
              <w:bottom w:w="28" w:type="dxa"/>
            </w:tcMar>
            <w:vAlign w:val="center"/>
          </w:tcPr>
          <w:p>
            <w:pPr>
              <w:pStyle w:val="TableContents"/>
              <w:bidi w:val="0"/>
              <w:spacing w:before="0" w:after="283"/>
              <w:jc w:val="center"/>
              <w:rPr>
                <w:b/>
                <w:sz w:val="16"/>
              </w:rPr>
            </w:pPr>
            <w:r>
              <w:rPr>
                <w:b/>
                <w:sz w:val="16"/>
              </w:rPr>
              <w:t>2026</w:t>
            </w:r>
          </w:p>
        </w:tc>
        <w:tc>
          <w:tcPr>
            <w:tcW w:w="26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21" w:type="dxa"/>
            <w:gridSpan w:val="2"/>
            <w:tcBorders>
              <w:bottom w:val="single" w:sz="8" w:space="0" w:color="000000"/>
            </w:tcBorders>
            <w:tcMar>
              <w:bottom w:w="28" w:type="dxa"/>
            </w:tcMar>
            <w:vAlign w:val="center"/>
          </w:tcPr>
          <w:p>
            <w:pPr>
              <w:pStyle w:val="TableContents"/>
              <w:bidi w:val="0"/>
              <w:spacing w:before="0" w:after="283"/>
              <w:jc w:val="center"/>
              <w:rPr>
                <w:b/>
                <w:sz w:val="16"/>
              </w:rPr>
            </w:pPr>
            <w:r>
              <w:rPr>
                <w:b/>
                <w:sz w:val="16"/>
              </w:rPr>
              <w:t>2025</w:t>
            </w:r>
          </w:p>
        </w:tc>
        <w:tc>
          <w:tcPr>
            <w:tcW w:w="2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0" w:type="dxa"/>
            <w:gridSpan w:val="2"/>
            <w:tcBorders>
              <w:bottom w:val="single" w:sz="8" w:space="0" w:color="000000"/>
            </w:tcBorders>
            <w:tcMar>
              <w:bottom w:w="28" w:type="dxa"/>
            </w:tcMar>
            <w:vAlign w:val="center"/>
          </w:tcPr>
          <w:p>
            <w:pPr>
              <w:pStyle w:val="TableContents"/>
              <w:bidi w:val="0"/>
              <w:spacing w:before="0" w:after="283"/>
              <w:jc w:val="center"/>
              <w:rPr>
                <w:b/>
                <w:sz w:val="16"/>
              </w:rPr>
            </w:pPr>
            <w:r>
              <w:rPr>
                <w:b/>
                <w:sz w:val="16"/>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75" w:type="dxa"/>
            <w:gridSpan w:val="2"/>
            <w:tcBorders>
              <w:bottom w:val="single" w:sz="8" w:space="0" w:color="000000"/>
            </w:tcBorders>
            <w:tcMar>
              <w:bottom w:w="28" w:type="dxa"/>
            </w:tcMar>
            <w:vAlign w:val="center"/>
          </w:tcPr>
          <w:p>
            <w:pPr>
              <w:pStyle w:val="TableContents"/>
              <w:bidi w:val="0"/>
              <w:spacing w:before="0" w:after="283"/>
              <w:jc w:val="center"/>
              <w:rPr>
                <w:b/>
                <w:sz w:val="16"/>
              </w:rPr>
            </w:pPr>
            <w:r>
              <w:rPr>
                <w:b/>
                <w:sz w:val="16"/>
              </w:rPr>
              <w:t>%</w:t>
            </w:r>
          </w:p>
        </w:tc>
        <w:tc>
          <w:tcPr>
            <w:tcW w:w="1506" w:type="dxa"/>
            <w:tcBorders/>
            <w:vAlign w:val="center"/>
          </w:tcPr>
          <w:p>
            <w:pPr>
              <w:pStyle w:val="TableContents"/>
              <w:bidi w:val="0"/>
              <w:spacing w:before="0" w:after="283"/>
              <w:jc w:val="left"/>
              <w:rPr/>
            </w:pPr>
            <w:r>
              <w:rPr/>
              <w:t> </w:t>
            </w:r>
          </w:p>
        </w:tc>
      </w:tr>
      <w:tr>
        <w:trPr/>
        <w:tc>
          <w:tcPr>
            <w:tcW w:w="46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21" w:type="dxa"/>
            <w:gridSpan w:val="2"/>
            <w:tcBorders/>
            <w:vAlign w:val="center"/>
          </w:tcPr>
          <w:p>
            <w:pPr>
              <w:pStyle w:val="TableContents"/>
              <w:bidi w:val="0"/>
              <w:spacing w:before="0" w:after="283"/>
              <w:jc w:val="left"/>
              <w:rPr/>
            </w:pPr>
            <w:r>
              <w:rPr/>
              <w:t> </w:t>
            </w:r>
          </w:p>
        </w:tc>
        <w:tc>
          <w:tcPr>
            <w:tcW w:w="26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21" w:type="dxa"/>
            <w:gridSpan w:val="2"/>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75" w:type="dxa"/>
            <w:gridSpan w:val="2"/>
            <w:tcBorders/>
            <w:vAlign w:val="center"/>
          </w:tcPr>
          <w:p>
            <w:pPr>
              <w:pStyle w:val="TableContents"/>
              <w:bidi w:val="0"/>
              <w:spacing w:before="0" w:after="283"/>
              <w:jc w:val="left"/>
              <w:rPr/>
            </w:pPr>
            <w:r>
              <w:rPr/>
              <w:t> </w:t>
            </w:r>
          </w:p>
        </w:tc>
        <w:tc>
          <w:tcPr>
            <w:tcW w:w="1506" w:type="dxa"/>
            <w:tcBorders/>
            <w:vAlign w:val="center"/>
          </w:tcPr>
          <w:p>
            <w:pPr>
              <w:pStyle w:val="TableContents"/>
              <w:bidi w:val="0"/>
              <w:spacing w:before="0" w:after="283"/>
              <w:jc w:val="left"/>
              <w:rPr/>
            </w:pPr>
            <w:r>
              <w:rPr/>
              <w:t> </w:t>
            </w:r>
          </w:p>
        </w:tc>
      </w:tr>
      <w:tr>
        <w:trPr/>
        <w:tc>
          <w:tcPr>
            <w:tcW w:w="4635" w:type="dxa"/>
            <w:tcBorders/>
            <w:shd w:fill="CCEEFF" w:val="clear"/>
            <w:vAlign w:val="center"/>
          </w:tcPr>
          <w:p>
            <w:pPr>
              <w:pStyle w:val="TableContents"/>
              <w:bidi w:val="0"/>
              <w:spacing w:before="0" w:after="283"/>
              <w:jc w:val="left"/>
              <w:rPr/>
            </w:pPr>
            <w:r>
              <w:rPr/>
              <w:t>Direct costs - patient services</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w:t>
            </w:r>
          </w:p>
        </w:tc>
        <w:tc>
          <w:tcPr>
            <w:tcW w:w="778" w:type="dxa"/>
            <w:tcBorders/>
            <w:shd w:fill="CCEEFF" w:val="clear"/>
            <w:vAlign w:val="center"/>
          </w:tcPr>
          <w:p>
            <w:pPr>
              <w:pStyle w:val="TableContents"/>
              <w:bidi w:val="0"/>
              <w:spacing w:before="0" w:after="283"/>
              <w:jc w:val="right"/>
              <w:rPr/>
            </w:pPr>
            <w:r>
              <w:rPr/>
              <w:t>56,771</w:t>
            </w:r>
          </w:p>
        </w:tc>
        <w:tc>
          <w:tcPr>
            <w:tcW w:w="267"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w:t>
            </w:r>
          </w:p>
        </w:tc>
        <w:tc>
          <w:tcPr>
            <w:tcW w:w="778" w:type="dxa"/>
            <w:tcBorders/>
            <w:shd w:fill="CCEEFF" w:val="clear"/>
            <w:vAlign w:val="center"/>
          </w:tcPr>
          <w:p>
            <w:pPr>
              <w:pStyle w:val="TableContents"/>
              <w:bidi w:val="0"/>
              <w:spacing w:before="0" w:after="283"/>
              <w:jc w:val="right"/>
              <w:rPr/>
            </w:pPr>
            <w:r>
              <w:rPr/>
              <w:t>51,150</w:t>
            </w:r>
          </w:p>
        </w:tc>
        <w:tc>
          <w:tcPr>
            <w:tcW w:w="2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680" w:type="dxa"/>
            <w:tcBorders/>
            <w:shd w:fill="CCEEFF" w:val="clear"/>
            <w:vAlign w:val="center"/>
          </w:tcPr>
          <w:p>
            <w:pPr>
              <w:pStyle w:val="TableContents"/>
              <w:bidi w:val="0"/>
              <w:spacing w:before="0" w:after="283"/>
              <w:jc w:val="right"/>
              <w:rPr/>
            </w:pPr>
            <w:r>
              <w:rPr/>
              <w:t>5,621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15" w:type="dxa"/>
            <w:tcBorders/>
            <w:shd w:fill="CCEEFF" w:val="clear"/>
            <w:vAlign w:val="center"/>
          </w:tcPr>
          <w:p>
            <w:pPr>
              <w:pStyle w:val="TableContents"/>
              <w:bidi w:val="0"/>
              <w:spacing w:before="0" w:after="283"/>
              <w:jc w:val="right"/>
              <w:rPr/>
            </w:pPr>
            <w:r>
              <w:rPr/>
              <w:t>11.0</w:t>
            </w:r>
          </w:p>
        </w:tc>
        <w:tc>
          <w:tcPr>
            <w:tcW w:w="1506" w:type="dxa"/>
            <w:tcBorders/>
            <w:shd w:fill="CCEEFF" w:val="clear"/>
            <w:vAlign w:val="center"/>
          </w:tcPr>
          <w:p>
            <w:pPr>
              <w:pStyle w:val="TableContents"/>
              <w:bidi w:val="0"/>
              <w:spacing w:before="0" w:after="283"/>
              <w:jc w:val="left"/>
              <w:rPr/>
            </w:pPr>
            <w:r>
              <w:rPr/>
              <w:t>%</w:t>
            </w:r>
          </w:p>
        </w:tc>
      </w:tr>
      <w:tr>
        <w:trPr/>
        <w:tc>
          <w:tcPr>
            <w:tcW w:w="4635" w:type="dxa"/>
            <w:tcBorders/>
            <w:shd w:fill="FFFFFF" w:val="clear"/>
            <w:vAlign w:val="center"/>
          </w:tcPr>
          <w:p>
            <w:pPr>
              <w:pStyle w:val="TableContents"/>
              <w:bidi w:val="0"/>
              <w:spacing w:before="0" w:after="283"/>
              <w:jc w:val="left"/>
              <w:rPr/>
            </w:pPr>
            <w:r>
              <w:rPr/>
              <w:t>Direct costs - fee-for-service</w:t>
            </w:r>
          </w:p>
        </w:tc>
        <w:tc>
          <w:tcPr>
            <w:tcW w:w="60" w:type="dxa"/>
            <w:tcBorders/>
            <w:shd w:fill="FFFFFF" w:val="clear"/>
            <w:vAlign w:val="center"/>
          </w:tcPr>
          <w:p>
            <w:pPr>
              <w:pStyle w:val="TableContents"/>
              <w:bidi w:val="0"/>
              <w:spacing w:before="0" w:after="283"/>
              <w:jc w:val="left"/>
              <w:rPr/>
            </w:pPr>
            <w:r>
              <w:rPr/>
              <w:t> </w:t>
            </w:r>
          </w:p>
        </w:tc>
        <w:tc>
          <w:tcPr>
            <w:tcW w:w="14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78" w:type="dxa"/>
            <w:tcBorders>
              <w:bottom w:val="single" w:sz="8" w:space="0" w:color="000000"/>
            </w:tcBorders>
            <w:shd w:fill="FFFFFF" w:val="clear"/>
            <w:tcMar>
              <w:bottom w:w="28" w:type="dxa"/>
            </w:tcMar>
            <w:vAlign w:val="center"/>
          </w:tcPr>
          <w:p>
            <w:pPr>
              <w:pStyle w:val="TableContents"/>
              <w:bidi w:val="0"/>
              <w:spacing w:before="0" w:after="283"/>
              <w:jc w:val="right"/>
              <w:rPr/>
            </w:pPr>
            <w:r>
              <w:rPr/>
              <w:t>(32,860</w:t>
            </w:r>
          </w:p>
        </w:tc>
        <w:tc>
          <w:tcPr>
            <w:tcW w:w="267"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78" w:type="dxa"/>
            <w:tcBorders>
              <w:bottom w:val="single" w:sz="8" w:space="0" w:color="000000"/>
            </w:tcBorders>
            <w:shd w:fill="FFFFFF" w:val="clear"/>
            <w:tcMar>
              <w:bottom w:w="28" w:type="dxa"/>
            </w:tcMar>
            <w:vAlign w:val="center"/>
          </w:tcPr>
          <w:p>
            <w:pPr>
              <w:pStyle w:val="TableContents"/>
              <w:bidi w:val="0"/>
              <w:spacing w:before="0" w:after="283"/>
              <w:jc w:val="right"/>
              <w:rPr/>
            </w:pPr>
            <w:r>
              <w:rPr/>
              <w:t>(37,769</w:t>
            </w:r>
          </w:p>
        </w:tc>
        <w:tc>
          <w:tcPr>
            <w:tcW w:w="260"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80" w:type="dxa"/>
            <w:tcBorders>
              <w:bottom w:val="single" w:sz="8" w:space="0" w:color="000000"/>
            </w:tcBorders>
            <w:shd w:fill="FFFFFF" w:val="clear"/>
            <w:tcMar>
              <w:bottom w:w="28" w:type="dxa"/>
            </w:tcMar>
            <w:vAlign w:val="center"/>
          </w:tcPr>
          <w:p>
            <w:pPr>
              <w:pStyle w:val="TableContents"/>
              <w:bidi w:val="0"/>
              <w:spacing w:before="0" w:after="283"/>
              <w:jc w:val="right"/>
              <w:rPr/>
            </w:pPr>
            <w:r>
              <w:rPr/>
              <w:t>4,909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515" w:type="dxa"/>
            <w:tcBorders>
              <w:bottom w:val="single" w:sz="8" w:space="0" w:color="000000"/>
            </w:tcBorders>
            <w:shd w:fill="FFFFFF" w:val="clear"/>
            <w:tcMar>
              <w:bottom w:w="28" w:type="dxa"/>
            </w:tcMar>
            <w:vAlign w:val="center"/>
          </w:tcPr>
          <w:p>
            <w:pPr>
              <w:pStyle w:val="TableContents"/>
              <w:bidi w:val="0"/>
              <w:spacing w:before="0" w:after="283"/>
              <w:jc w:val="right"/>
              <w:rPr/>
            </w:pPr>
            <w:r>
              <w:rPr/>
              <w:t>(13.0</w:t>
            </w:r>
          </w:p>
        </w:tc>
        <w:tc>
          <w:tcPr>
            <w:tcW w:w="1506" w:type="dxa"/>
            <w:tcBorders/>
            <w:shd w:fill="FFFFFF" w:val="clear"/>
            <w:vAlign w:val="center"/>
          </w:tcPr>
          <w:p>
            <w:pPr>
              <w:pStyle w:val="TableContents"/>
              <w:bidi w:val="0"/>
              <w:spacing w:before="0" w:after="283"/>
              <w:ind w:left="0" w:right="0" w:firstLine="1200"/>
              <w:jc w:val="left"/>
              <w:rPr/>
            </w:pPr>
            <w:r>
              <w:rPr/>
              <w:t>)%</w:t>
            </w:r>
          </w:p>
        </w:tc>
      </w:tr>
      <w:tr>
        <w:trPr/>
        <w:tc>
          <w:tcPr>
            <w:tcW w:w="4635" w:type="dxa"/>
            <w:tcBorders/>
            <w:shd w:fill="CCEEFF" w:val="clear"/>
            <w:vAlign w:val="center"/>
          </w:tcPr>
          <w:p>
            <w:pPr>
              <w:pStyle w:val="TableContents"/>
              <w:bidi w:val="0"/>
              <w:spacing w:before="0" w:after="283"/>
              <w:jc w:val="left"/>
              <w:rPr>
                <w:b/>
              </w:rPr>
            </w:pPr>
            <w:r>
              <w:rPr>
                <w:b/>
              </w:rPr>
              <w:t>Direct costs - capitated</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778" w:type="dxa"/>
            <w:tcBorders/>
            <w:shd w:fill="CCEEFF" w:val="clear"/>
            <w:vAlign w:val="center"/>
          </w:tcPr>
          <w:p>
            <w:pPr>
              <w:pStyle w:val="TableContents"/>
              <w:bidi w:val="0"/>
              <w:spacing w:before="0" w:after="283"/>
              <w:jc w:val="right"/>
              <w:rPr>
                <w:b/>
              </w:rPr>
            </w:pPr>
            <w:r>
              <w:rPr>
                <w:b/>
              </w:rPr>
              <w:t>23,911</w:t>
            </w:r>
          </w:p>
        </w:tc>
        <w:tc>
          <w:tcPr>
            <w:tcW w:w="267"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778" w:type="dxa"/>
            <w:tcBorders/>
            <w:shd w:fill="CCEEFF" w:val="clear"/>
            <w:vAlign w:val="center"/>
          </w:tcPr>
          <w:p>
            <w:pPr>
              <w:pStyle w:val="TableContents"/>
              <w:bidi w:val="0"/>
              <w:spacing w:before="0" w:after="283"/>
              <w:jc w:val="right"/>
              <w:rPr>
                <w:b/>
              </w:rPr>
            </w:pPr>
            <w:r>
              <w:rPr>
                <w:b/>
              </w:rPr>
              <w:t>13,381</w:t>
            </w:r>
          </w:p>
        </w:tc>
        <w:tc>
          <w:tcPr>
            <w:tcW w:w="2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10,530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15" w:type="dxa"/>
            <w:tcBorders/>
            <w:shd w:fill="CCEEFF" w:val="clear"/>
            <w:vAlign w:val="center"/>
          </w:tcPr>
          <w:p>
            <w:pPr>
              <w:pStyle w:val="TableContents"/>
              <w:bidi w:val="0"/>
              <w:spacing w:before="0" w:after="283"/>
              <w:jc w:val="right"/>
              <w:rPr/>
            </w:pPr>
            <w:r>
              <w:rPr/>
              <w:t>78.7</w:t>
            </w:r>
          </w:p>
        </w:tc>
        <w:tc>
          <w:tcPr>
            <w:tcW w:w="1506" w:type="dxa"/>
            <w:tcBorders/>
            <w:shd w:fill="CCEEFF" w:val="clear"/>
            <w:vAlign w:val="center"/>
          </w:tcPr>
          <w:p>
            <w:pPr>
              <w:pStyle w:val="TableContents"/>
              <w:bidi w:val="0"/>
              <w:spacing w:before="0" w:after="283"/>
              <w:jc w:val="left"/>
              <w:rPr/>
            </w:pPr>
            <w:r>
              <w:rPr/>
              <w:t>%</w:t>
            </w:r>
          </w:p>
        </w:tc>
      </w:tr>
      <w:tr>
        <w:trPr/>
        <w:tc>
          <w:tcPr>
            <w:tcW w:w="463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jc w:val="left"/>
              <w:rPr/>
            </w:pPr>
            <w:r>
              <w:rPr/>
              <w:t> </w:t>
            </w:r>
          </w:p>
        </w:tc>
        <w:tc>
          <w:tcPr>
            <w:tcW w:w="778" w:type="dxa"/>
            <w:tcBorders/>
            <w:shd w:fill="FFFFFF" w:val="clear"/>
            <w:vAlign w:val="center"/>
          </w:tcPr>
          <w:p>
            <w:pPr>
              <w:pStyle w:val="TableContents"/>
              <w:bidi w:val="0"/>
              <w:spacing w:before="0" w:after="283"/>
              <w:jc w:val="right"/>
              <w:rPr/>
            </w:pPr>
            <w:r>
              <w:rPr/>
              <w:t> </w:t>
            </w:r>
          </w:p>
        </w:tc>
        <w:tc>
          <w:tcPr>
            <w:tcW w:w="26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jc w:val="left"/>
              <w:rPr/>
            </w:pPr>
            <w:r>
              <w:rPr/>
              <w:t> </w:t>
            </w:r>
          </w:p>
        </w:tc>
        <w:tc>
          <w:tcPr>
            <w:tcW w:w="778" w:type="dxa"/>
            <w:tcBorders/>
            <w:shd w:fill="FFFFFF" w:val="clear"/>
            <w:vAlign w:val="center"/>
          </w:tcPr>
          <w:p>
            <w:pPr>
              <w:pStyle w:val="TableContents"/>
              <w:bidi w:val="0"/>
              <w:spacing w:before="0" w:after="283"/>
              <w:jc w:val="right"/>
              <w:rPr/>
            </w:pPr>
            <w:r>
              <w:rPr/>
              <w:t> </w:t>
            </w:r>
          </w:p>
        </w:tc>
        <w:tc>
          <w:tcPr>
            <w:tcW w:w="2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15" w:type="dxa"/>
            <w:tcBorders/>
            <w:shd w:fill="FFFFFF" w:val="clear"/>
            <w:vAlign w:val="center"/>
          </w:tcPr>
          <w:p>
            <w:pPr>
              <w:pStyle w:val="TableContents"/>
              <w:bidi w:val="0"/>
              <w:spacing w:before="0" w:after="283"/>
              <w:jc w:val="right"/>
              <w:rPr/>
            </w:pPr>
            <w:r>
              <w:rPr/>
              <w:t> </w:t>
            </w:r>
          </w:p>
        </w:tc>
        <w:tc>
          <w:tcPr>
            <w:tcW w:w="1506" w:type="dxa"/>
            <w:tcBorders/>
            <w:shd w:fill="FFFFFF" w:val="clear"/>
            <w:vAlign w:val="center"/>
          </w:tcPr>
          <w:p>
            <w:pPr>
              <w:pStyle w:val="TableContents"/>
              <w:bidi w:val="0"/>
              <w:spacing w:before="0" w:after="283"/>
              <w:jc w:val="left"/>
              <w:rPr/>
            </w:pPr>
            <w:r>
              <w:rPr/>
              <w:t> </w:t>
            </w:r>
          </w:p>
        </w:tc>
      </w:tr>
      <w:tr>
        <w:trPr/>
        <w:tc>
          <w:tcPr>
            <w:tcW w:w="4635" w:type="dxa"/>
            <w:tcBorders/>
            <w:shd w:fill="CCEEFF" w:val="clear"/>
            <w:vAlign w:val="center"/>
          </w:tcPr>
          <w:p>
            <w:pPr>
              <w:pStyle w:val="TableContents"/>
              <w:bidi w:val="0"/>
              <w:spacing w:before="0" w:after="283"/>
              <w:jc w:val="left"/>
              <w:rPr/>
            </w:pPr>
            <w:r>
              <w:rPr/>
              <w:t>Patient services revenue</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778" w:type="dxa"/>
            <w:tcBorders/>
            <w:shd w:fill="CCEEFF" w:val="clear"/>
            <w:vAlign w:val="center"/>
          </w:tcPr>
          <w:p>
            <w:pPr>
              <w:pStyle w:val="TableContents"/>
              <w:bidi w:val="0"/>
              <w:spacing w:before="0" w:after="283"/>
              <w:jc w:val="right"/>
              <w:rPr/>
            </w:pPr>
            <w:r>
              <w:rPr/>
              <w:t>58,827</w:t>
            </w:r>
          </w:p>
        </w:tc>
        <w:tc>
          <w:tcPr>
            <w:tcW w:w="267"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778" w:type="dxa"/>
            <w:tcBorders/>
            <w:shd w:fill="CCEEFF" w:val="clear"/>
            <w:vAlign w:val="center"/>
          </w:tcPr>
          <w:p>
            <w:pPr>
              <w:pStyle w:val="TableContents"/>
              <w:bidi w:val="0"/>
              <w:spacing w:before="0" w:after="283"/>
              <w:jc w:val="right"/>
              <w:rPr/>
            </w:pPr>
            <w:r>
              <w:rPr/>
              <w:t>55,891</w:t>
            </w:r>
          </w:p>
        </w:tc>
        <w:tc>
          <w:tcPr>
            <w:tcW w:w="2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2,936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15" w:type="dxa"/>
            <w:tcBorders/>
            <w:shd w:fill="CCEEFF" w:val="clear"/>
            <w:vAlign w:val="center"/>
          </w:tcPr>
          <w:p>
            <w:pPr>
              <w:pStyle w:val="TableContents"/>
              <w:bidi w:val="0"/>
              <w:spacing w:before="0" w:after="283"/>
              <w:jc w:val="right"/>
              <w:rPr/>
            </w:pPr>
            <w:r>
              <w:rPr/>
              <w:t>5.3</w:t>
            </w:r>
          </w:p>
        </w:tc>
        <w:tc>
          <w:tcPr>
            <w:tcW w:w="1506" w:type="dxa"/>
            <w:tcBorders/>
            <w:shd w:fill="CCEEFF" w:val="clear"/>
            <w:vAlign w:val="center"/>
          </w:tcPr>
          <w:p>
            <w:pPr>
              <w:pStyle w:val="TableContents"/>
              <w:bidi w:val="0"/>
              <w:spacing w:before="0" w:after="283"/>
              <w:jc w:val="left"/>
              <w:rPr/>
            </w:pPr>
            <w:r>
              <w:rPr/>
              <w:t>%</w:t>
            </w:r>
          </w:p>
        </w:tc>
      </w:tr>
      <w:tr>
        <w:trPr/>
        <w:tc>
          <w:tcPr>
            <w:tcW w:w="4635" w:type="dxa"/>
            <w:tcBorders/>
            <w:shd w:fill="FFFFFF" w:val="clear"/>
            <w:vAlign w:val="center"/>
          </w:tcPr>
          <w:p>
            <w:pPr>
              <w:pStyle w:val="TableContents"/>
              <w:bidi w:val="0"/>
              <w:spacing w:before="0" w:after="283"/>
              <w:jc w:val="left"/>
              <w:rPr/>
            </w:pPr>
            <w:r>
              <w:rPr/>
              <w:t>Fee-for-service revenue</w:t>
            </w:r>
          </w:p>
        </w:tc>
        <w:tc>
          <w:tcPr>
            <w:tcW w:w="60" w:type="dxa"/>
            <w:tcBorders/>
            <w:shd w:fill="FFFFFF" w:val="clear"/>
            <w:vAlign w:val="center"/>
          </w:tcPr>
          <w:p>
            <w:pPr>
              <w:pStyle w:val="TableContents"/>
              <w:bidi w:val="0"/>
              <w:spacing w:before="0" w:after="283"/>
              <w:jc w:val="left"/>
              <w:rPr/>
            </w:pPr>
            <w:r>
              <w:rPr/>
              <w:t> </w:t>
            </w:r>
          </w:p>
        </w:tc>
        <w:tc>
          <w:tcPr>
            <w:tcW w:w="14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78" w:type="dxa"/>
            <w:tcBorders>
              <w:bottom w:val="single" w:sz="8" w:space="0" w:color="000000"/>
            </w:tcBorders>
            <w:shd w:fill="FFFFFF" w:val="clear"/>
            <w:tcMar>
              <w:bottom w:w="28" w:type="dxa"/>
            </w:tcMar>
            <w:vAlign w:val="center"/>
          </w:tcPr>
          <w:p>
            <w:pPr>
              <w:pStyle w:val="TableContents"/>
              <w:bidi w:val="0"/>
              <w:spacing w:before="0" w:after="283"/>
              <w:jc w:val="right"/>
              <w:rPr/>
            </w:pPr>
            <w:r>
              <w:rPr/>
              <w:t>(30,853</w:t>
            </w:r>
          </w:p>
        </w:tc>
        <w:tc>
          <w:tcPr>
            <w:tcW w:w="267"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78" w:type="dxa"/>
            <w:tcBorders>
              <w:bottom w:val="single" w:sz="8" w:space="0" w:color="000000"/>
            </w:tcBorders>
            <w:shd w:fill="FFFFFF" w:val="clear"/>
            <w:tcMar>
              <w:bottom w:w="28" w:type="dxa"/>
            </w:tcMar>
            <w:vAlign w:val="center"/>
          </w:tcPr>
          <w:p>
            <w:pPr>
              <w:pStyle w:val="TableContents"/>
              <w:bidi w:val="0"/>
              <w:spacing w:before="0" w:after="283"/>
              <w:jc w:val="right"/>
              <w:rPr/>
            </w:pPr>
            <w:r>
              <w:rPr/>
              <w:t>(37,048</w:t>
            </w:r>
          </w:p>
        </w:tc>
        <w:tc>
          <w:tcPr>
            <w:tcW w:w="260"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80" w:type="dxa"/>
            <w:tcBorders>
              <w:bottom w:val="single" w:sz="8" w:space="0" w:color="000000"/>
            </w:tcBorders>
            <w:shd w:fill="FFFFFF" w:val="clear"/>
            <w:tcMar>
              <w:bottom w:w="28" w:type="dxa"/>
            </w:tcMar>
            <w:vAlign w:val="center"/>
          </w:tcPr>
          <w:p>
            <w:pPr>
              <w:pStyle w:val="TableContents"/>
              <w:bidi w:val="0"/>
              <w:spacing w:before="0" w:after="283"/>
              <w:jc w:val="right"/>
              <w:rPr/>
            </w:pPr>
            <w:r>
              <w:rPr/>
              <w:t>6,195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515" w:type="dxa"/>
            <w:tcBorders>
              <w:bottom w:val="single" w:sz="8" w:space="0" w:color="000000"/>
            </w:tcBorders>
            <w:shd w:fill="FFFFFF" w:val="clear"/>
            <w:tcMar>
              <w:bottom w:w="28" w:type="dxa"/>
            </w:tcMar>
            <w:vAlign w:val="center"/>
          </w:tcPr>
          <w:p>
            <w:pPr>
              <w:pStyle w:val="TableContents"/>
              <w:bidi w:val="0"/>
              <w:spacing w:before="0" w:after="283"/>
              <w:jc w:val="right"/>
              <w:rPr/>
            </w:pPr>
            <w:r>
              <w:rPr/>
              <w:t>(16.7</w:t>
            </w:r>
          </w:p>
        </w:tc>
        <w:tc>
          <w:tcPr>
            <w:tcW w:w="1506" w:type="dxa"/>
            <w:tcBorders/>
            <w:shd w:fill="FFFFFF" w:val="clear"/>
            <w:vAlign w:val="center"/>
          </w:tcPr>
          <w:p>
            <w:pPr>
              <w:pStyle w:val="TableContents"/>
              <w:bidi w:val="0"/>
              <w:spacing w:before="0" w:after="283"/>
              <w:ind w:left="0" w:right="0" w:firstLine="1200"/>
              <w:jc w:val="left"/>
              <w:rPr/>
            </w:pPr>
            <w:r>
              <w:rPr/>
              <w:t>)%</w:t>
            </w:r>
          </w:p>
        </w:tc>
      </w:tr>
      <w:tr>
        <w:trPr/>
        <w:tc>
          <w:tcPr>
            <w:tcW w:w="4635" w:type="dxa"/>
            <w:tcBorders/>
            <w:shd w:fill="CCEEFF" w:val="clear"/>
            <w:vAlign w:val="center"/>
          </w:tcPr>
          <w:p>
            <w:pPr>
              <w:pStyle w:val="TableContents"/>
              <w:bidi w:val="0"/>
              <w:spacing w:before="0" w:after="283"/>
              <w:jc w:val="left"/>
              <w:rPr>
                <w:b/>
              </w:rPr>
            </w:pPr>
            <w:r>
              <w:rPr>
                <w:b/>
              </w:rPr>
              <w:t>Capitated revenue</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778" w:type="dxa"/>
            <w:tcBorders/>
            <w:shd w:fill="CCEEFF" w:val="clear"/>
            <w:vAlign w:val="center"/>
          </w:tcPr>
          <w:p>
            <w:pPr>
              <w:pStyle w:val="TableContents"/>
              <w:bidi w:val="0"/>
              <w:spacing w:before="0" w:after="283"/>
              <w:jc w:val="right"/>
              <w:rPr>
                <w:b/>
              </w:rPr>
            </w:pPr>
            <w:r>
              <w:rPr>
                <w:b/>
              </w:rPr>
              <w:t>27,974</w:t>
            </w:r>
          </w:p>
        </w:tc>
        <w:tc>
          <w:tcPr>
            <w:tcW w:w="267"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778" w:type="dxa"/>
            <w:tcBorders/>
            <w:shd w:fill="CCEEFF" w:val="clear"/>
            <w:vAlign w:val="center"/>
          </w:tcPr>
          <w:p>
            <w:pPr>
              <w:pStyle w:val="TableContents"/>
              <w:bidi w:val="0"/>
              <w:spacing w:before="0" w:after="283"/>
              <w:jc w:val="right"/>
              <w:rPr>
                <w:b/>
              </w:rPr>
            </w:pPr>
            <w:r>
              <w:rPr>
                <w:b/>
              </w:rPr>
              <w:t>18,843</w:t>
            </w:r>
          </w:p>
        </w:tc>
        <w:tc>
          <w:tcPr>
            <w:tcW w:w="2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9,131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15" w:type="dxa"/>
            <w:tcBorders/>
            <w:shd w:fill="CCEEFF" w:val="clear"/>
            <w:vAlign w:val="center"/>
          </w:tcPr>
          <w:p>
            <w:pPr>
              <w:pStyle w:val="TableContents"/>
              <w:bidi w:val="0"/>
              <w:spacing w:before="0" w:after="283"/>
              <w:jc w:val="right"/>
              <w:rPr/>
            </w:pPr>
            <w:r>
              <w:rPr/>
              <w:t>48.5</w:t>
            </w:r>
          </w:p>
        </w:tc>
        <w:tc>
          <w:tcPr>
            <w:tcW w:w="1506" w:type="dxa"/>
            <w:tcBorders/>
            <w:shd w:fill="CCEEFF" w:val="clear"/>
            <w:vAlign w:val="center"/>
          </w:tcPr>
          <w:p>
            <w:pPr>
              <w:pStyle w:val="TableContents"/>
              <w:bidi w:val="0"/>
              <w:spacing w:before="0" w:after="283"/>
              <w:jc w:val="left"/>
              <w:rPr/>
            </w:pPr>
            <w:r>
              <w:rPr/>
              <w:t>%</w:t>
            </w:r>
          </w:p>
        </w:tc>
      </w:tr>
      <w:tr>
        <w:trPr/>
        <w:tc>
          <w:tcPr>
            <w:tcW w:w="463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jc w:val="left"/>
              <w:rPr/>
            </w:pPr>
            <w:r>
              <w:rPr/>
              <w:t> </w:t>
            </w:r>
          </w:p>
        </w:tc>
        <w:tc>
          <w:tcPr>
            <w:tcW w:w="778" w:type="dxa"/>
            <w:tcBorders/>
            <w:shd w:fill="FFFFFF" w:val="clear"/>
            <w:vAlign w:val="center"/>
          </w:tcPr>
          <w:p>
            <w:pPr>
              <w:pStyle w:val="TableContents"/>
              <w:bidi w:val="0"/>
              <w:spacing w:before="0" w:after="283"/>
              <w:jc w:val="right"/>
              <w:rPr/>
            </w:pPr>
            <w:r>
              <w:rPr/>
              <w:t> </w:t>
            </w:r>
          </w:p>
        </w:tc>
        <w:tc>
          <w:tcPr>
            <w:tcW w:w="26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jc w:val="left"/>
              <w:rPr/>
            </w:pPr>
            <w:r>
              <w:rPr/>
              <w:t> </w:t>
            </w:r>
          </w:p>
        </w:tc>
        <w:tc>
          <w:tcPr>
            <w:tcW w:w="778" w:type="dxa"/>
            <w:tcBorders/>
            <w:shd w:fill="FFFFFF" w:val="clear"/>
            <w:vAlign w:val="center"/>
          </w:tcPr>
          <w:p>
            <w:pPr>
              <w:pStyle w:val="TableContents"/>
              <w:bidi w:val="0"/>
              <w:spacing w:before="0" w:after="283"/>
              <w:jc w:val="right"/>
              <w:rPr/>
            </w:pPr>
            <w:r>
              <w:rPr/>
              <w:t> </w:t>
            </w:r>
          </w:p>
        </w:tc>
        <w:tc>
          <w:tcPr>
            <w:tcW w:w="2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15" w:type="dxa"/>
            <w:tcBorders/>
            <w:shd w:fill="FFFFFF" w:val="clear"/>
            <w:vAlign w:val="center"/>
          </w:tcPr>
          <w:p>
            <w:pPr>
              <w:pStyle w:val="TableContents"/>
              <w:bidi w:val="0"/>
              <w:spacing w:before="0" w:after="283"/>
              <w:jc w:val="right"/>
              <w:rPr/>
            </w:pPr>
            <w:r>
              <w:rPr/>
              <w:t> </w:t>
            </w:r>
          </w:p>
        </w:tc>
        <w:tc>
          <w:tcPr>
            <w:tcW w:w="1506" w:type="dxa"/>
            <w:tcBorders/>
            <w:shd w:fill="FFFFFF" w:val="clear"/>
            <w:vAlign w:val="center"/>
          </w:tcPr>
          <w:p>
            <w:pPr>
              <w:pStyle w:val="TableContents"/>
              <w:bidi w:val="0"/>
              <w:spacing w:before="0" w:after="283"/>
              <w:ind w:left="0" w:right="0" w:firstLine="600"/>
              <w:jc w:val="left"/>
              <w:rPr/>
            </w:pPr>
            <w:r>
              <w:rPr/>
              <w:t> </w:t>
            </w:r>
          </w:p>
        </w:tc>
      </w:tr>
      <w:tr>
        <w:trPr/>
        <w:tc>
          <w:tcPr>
            <w:tcW w:w="4635" w:type="dxa"/>
            <w:tcBorders/>
            <w:shd w:fill="CCEEFF" w:val="clear"/>
            <w:vAlign w:val="center"/>
          </w:tcPr>
          <w:p>
            <w:pPr>
              <w:pStyle w:val="TableContents"/>
              <w:bidi w:val="0"/>
              <w:spacing w:before="0" w:after="283"/>
              <w:jc w:val="left"/>
              <w:rPr>
                <w:b/>
              </w:rPr>
            </w:pPr>
            <w:r>
              <w:rPr>
                <w:b/>
              </w:rPr>
              <w:t>Medical loss ratio related to capitated contracts</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778" w:type="dxa"/>
            <w:tcBorders/>
            <w:shd w:fill="CCEEFF" w:val="clear"/>
            <w:vAlign w:val="center"/>
          </w:tcPr>
          <w:p>
            <w:pPr>
              <w:pStyle w:val="TableContents"/>
              <w:bidi w:val="0"/>
              <w:spacing w:before="0" w:after="283"/>
              <w:jc w:val="right"/>
              <w:rPr>
                <w:b/>
              </w:rPr>
            </w:pPr>
            <w:r>
              <w:rPr>
                <w:b/>
              </w:rPr>
              <w:t>85.5</w:t>
            </w:r>
          </w:p>
        </w:tc>
        <w:tc>
          <w:tcPr>
            <w:tcW w:w="267"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778" w:type="dxa"/>
            <w:tcBorders/>
            <w:shd w:fill="CCEEFF" w:val="clear"/>
            <w:vAlign w:val="center"/>
          </w:tcPr>
          <w:p>
            <w:pPr>
              <w:pStyle w:val="TableContents"/>
              <w:bidi w:val="0"/>
              <w:spacing w:before="0" w:after="283"/>
              <w:jc w:val="right"/>
              <w:rPr>
                <w:b/>
              </w:rPr>
            </w:pPr>
            <w:r>
              <w:rPr>
                <w:b/>
              </w:rPr>
              <w:t>71.0</w:t>
            </w:r>
          </w:p>
        </w:tc>
        <w:tc>
          <w:tcPr>
            <w:tcW w:w="260"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b/>
              </w:rPr>
            </w:pPr>
            <w:r>
              <w:rPr>
                <w:b/>
              </w:rPr>
              <w:t>$</w:t>
            </w:r>
          </w:p>
        </w:tc>
        <w:tc>
          <w:tcPr>
            <w:tcW w:w="680" w:type="dxa"/>
            <w:tcBorders/>
            <w:shd w:fill="CCEEFF" w:val="clear"/>
            <w:vAlign w:val="center"/>
          </w:tcPr>
          <w:p>
            <w:pPr>
              <w:pStyle w:val="TableContents"/>
              <w:bidi w:val="0"/>
              <w:spacing w:before="0" w:after="283"/>
              <w:jc w:val="right"/>
              <w:rPr>
                <w:b/>
              </w:rPr>
            </w:pPr>
            <w:r>
              <w:rPr>
                <w:b/>
              </w:rPr>
              <w:t>1,399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15" w:type="dxa"/>
            <w:tcBorders/>
            <w:shd w:fill="CCEEFF" w:val="clear"/>
            <w:vAlign w:val="center"/>
          </w:tcPr>
          <w:p>
            <w:pPr>
              <w:pStyle w:val="TableContents"/>
              <w:bidi w:val="0"/>
              <w:spacing w:before="0" w:after="283"/>
              <w:jc w:val="right"/>
              <w:rPr>
                <w:b/>
              </w:rPr>
            </w:pPr>
            <w:r>
              <w:rPr>
                <w:b/>
              </w:rPr>
              <w:t>14.5</w:t>
            </w:r>
          </w:p>
        </w:tc>
        <w:tc>
          <w:tcPr>
            <w:tcW w:w="1506" w:type="dxa"/>
            <w:tcBorders/>
            <w:shd w:fill="CCEEFF" w:val="clear"/>
            <w:vAlign w:val="center"/>
          </w:tcPr>
          <w:p>
            <w:pPr>
              <w:pStyle w:val="TableContents"/>
              <w:bidi w:val="0"/>
              <w:spacing w:before="0" w:after="283"/>
              <w:jc w:val="left"/>
              <w:rPr>
                <w:b/>
              </w:rPr>
            </w:pPr>
            <w:r>
              <w:rPr>
                <w:b/>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133"/>
        <w:gridCol w:w="60"/>
        <w:gridCol w:w="150"/>
        <w:gridCol w:w="683"/>
        <w:gridCol w:w="102"/>
        <w:gridCol w:w="64"/>
        <w:gridCol w:w="150"/>
        <w:gridCol w:w="813"/>
        <w:gridCol w:w="95"/>
        <w:gridCol w:w="60"/>
        <w:gridCol w:w="140"/>
        <w:gridCol w:w="680"/>
        <w:gridCol w:w="95"/>
        <w:gridCol w:w="60"/>
        <w:gridCol w:w="60"/>
        <w:gridCol w:w="560"/>
        <w:gridCol w:w="300"/>
      </w:tblGrid>
      <w:tr>
        <w:trPr/>
        <w:tc>
          <w:tcPr>
            <w:tcW w:w="10205" w:type="dxa"/>
            <w:gridSpan w:val="17"/>
            <w:tcBorders/>
            <w:vAlign w:val="center"/>
          </w:tcPr>
          <w:p>
            <w:pPr>
              <w:pStyle w:val="TableContents"/>
              <w:bidi w:val="0"/>
              <w:spacing w:before="0" w:after="283"/>
              <w:jc w:val="center"/>
              <w:rPr>
                <w:b/>
                <w:sz w:val="16"/>
              </w:rPr>
            </w:pPr>
            <w:r>
              <w:rPr>
                <w:b/>
                <w:sz w:val="16"/>
              </w:rPr>
              <w:t>Free Cash Flow Reconciliation</w:t>
            </w:r>
          </w:p>
        </w:tc>
      </w:tr>
      <w:tr>
        <w:trPr/>
        <w:tc>
          <w:tcPr>
            <w:tcW w:w="10205" w:type="dxa"/>
            <w:gridSpan w:val="17"/>
            <w:tcBorders/>
            <w:vAlign w:val="center"/>
          </w:tcPr>
          <w:p>
            <w:pPr>
              <w:pStyle w:val="TableContents"/>
              <w:bidi w:val="0"/>
              <w:spacing w:before="0" w:after="283"/>
              <w:jc w:val="left"/>
              <w:rPr/>
            </w:pPr>
            <w:r>
              <w:rPr/>
              <w:t> </w:t>
            </w:r>
          </w:p>
        </w:tc>
      </w:tr>
      <w:tr>
        <w:trPr/>
        <w:tc>
          <w:tcPr>
            <w:tcW w:w="613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62" w:type="dxa"/>
            <w:gridSpan w:val="6"/>
            <w:tcBorders>
              <w:bottom w:val="single" w:sz="8" w:space="0" w:color="000000"/>
            </w:tcBorders>
            <w:tcMar>
              <w:bottom w:w="28" w:type="dxa"/>
            </w:tcMar>
            <w:vAlign w:val="center"/>
          </w:tcPr>
          <w:p>
            <w:pPr>
              <w:pStyle w:val="TableContents"/>
              <w:bidi w:val="0"/>
              <w:spacing w:before="0" w:after="283"/>
              <w:jc w:val="center"/>
              <w:rPr>
                <w:b/>
                <w:sz w:val="16"/>
              </w:rPr>
            </w:pPr>
            <w:r>
              <w:rPr>
                <w:b/>
                <w:sz w:val="16"/>
              </w:rPr>
              <w:t>Six Months Ended June 30,</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95" w:type="dxa"/>
            <w:gridSpan w:val="6"/>
            <w:tcBorders>
              <w:bottom w:val="single" w:sz="8" w:space="0" w:color="000000"/>
            </w:tcBorders>
            <w:tcMar>
              <w:bottom w:w="28" w:type="dxa"/>
            </w:tcMar>
            <w:vAlign w:val="center"/>
          </w:tcPr>
          <w:p>
            <w:pPr>
              <w:pStyle w:val="TableContents"/>
              <w:bidi w:val="0"/>
              <w:spacing w:before="0" w:after="283"/>
              <w:jc w:val="center"/>
              <w:rPr>
                <w:b/>
                <w:sz w:val="16"/>
              </w:rPr>
            </w:pPr>
            <w:r>
              <w:rPr>
                <w:b/>
                <w:sz w:val="16"/>
              </w:rPr>
              <w:t>Change</w:t>
            </w:r>
          </w:p>
        </w:tc>
        <w:tc>
          <w:tcPr>
            <w:tcW w:w="300" w:type="dxa"/>
            <w:tcBorders/>
            <w:vAlign w:val="center"/>
          </w:tcPr>
          <w:p>
            <w:pPr>
              <w:pStyle w:val="TableContents"/>
              <w:bidi w:val="0"/>
              <w:spacing w:before="0" w:after="283"/>
              <w:jc w:val="left"/>
              <w:rPr/>
            </w:pPr>
            <w:r>
              <w:rPr/>
              <w:t> </w:t>
            </w:r>
          </w:p>
        </w:tc>
      </w:tr>
      <w:tr>
        <w:trPr/>
        <w:tc>
          <w:tcPr>
            <w:tcW w:w="6133" w:type="dxa"/>
            <w:tcBorders>
              <w:bottom w:val="single" w:sz="8" w:space="0" w:color="000000"/>
            </w:tcBorders>
            <w:tcMar>
              <w:bottom w:w="28" w:type="dxa"/>
            </w:tcMar>
            <w:vAlign w:val="center"/>
          </w:tcPr>
          <w:p>
            <w:pPr>
              <w:pStyle w:val="TableContents"/>
              <w:bidi w:val="0"/>
              <w:spacing w:before="0" w:after="283"/>
              <w:jc w:val="left"/>
              <w:rPr>
                <w:i/>
                <w:sz w:val="16"/>
              </w:rPr>
            </w:pPr>
            <w:r>
              <w:rPr>
                <w:i/>
                <w:sz w:val="16"/>
              </w:rPr>
              <w:t>(dollars in thousands)</w:t>
            </w:r>
          </w:p>
        </w:tc>
        <w:tc>
          <w:tcPr>
            <w:tcW w:w="60" w:type="dxa"/>
            <w:tcBorders/>
            <w:vAlign w:val="center"/>
          </w:tcPr>
          <w:p>
            <w:pPr>
              <w:pStyle w:val="TableContents"/>
              <w:bidi w:val="0"/>
              <w:spacing w:before="0" w:after="283"/>
              <w:jc w:val="left"/>
              <w:rPr/>
            </w:pPr>
            <w:r>
              <w:rPr/>
              <w:t> </w:t>
            </w:r>
          </w:p>
        </w:tc>
        <w:tc>
          <w:tcPr>
            <w:tcW w:w="833" w:type="dxa"/>
            <w:gridSpan w:val="2"/>
            <w:tcBorders>
              <w:bottom w:val="single" w:sz="8" w:space="0" w:color="000000"/>
            </w:tcBorders>
            <w:tcMar>
              <w:bottom w:w="28" w:type="dxa"/>
            </w:tcMar>
            <w:vAlign w:val="center"/>
          </w:tcPr>
          <w:p>
            <w:pPr>
              <w:pStyle w:val="TableContents"/>
              <w:bidi w:val="0"/>
              <w:spacing w:before="0" w:after="283"/>
              <w:jc w:val="center"/>
              <w:rPr>
                <w:b/>
                <w:sz w:val="16"/>
              </w:rPr>
            </w:pPr>
            <w:r>
              <w:rPr>
                <w:b/>
                <w:sz w:val="16"/>
              </w:rPr>
              <w:t>2026</w:t>
            </w:r>
          </w:p>
        </w:tc>
        <w:tc>
          <w:tcPr>
            <w:tcW w:w="102" w:type="dxa"/>
            <w:tcBorders/>
            <w:vAlign w:val="center"/>
          </w:tcPr>
          <w:p>
            <w:pPr>
              <w:pStyle w:val="TableContents"/>
              <w:bidi w:val="0"/>
              <w:spacing w:before="0" w:after="283"/>
              <w:jc w:val="left"/>
              <w:rPr/>
            </w:pPr>
            <w:r>
              <w:rPr/>
              <w:t> </w:t>
            </w:r>
          </w:p>
        </w:tc>
        <w:tc>
          <w:tcPr>
            <w:tcW w:w="64" w:type="dxa"/>
            <w:tcBorders/>
            <w:vAlign w:val="center"/>
          </w:tcPr>
          <w:p>
            <w:pPr>
              <w:pStyle w:val="TableContents"/>
              <w:bidi w:val="0"/>
              <w:spacing w:before="0" w:after="283"/>
              <w:jc w:val="left"/>
              <w:rPr/>
            </w:pPr>
            <w:r>
              <w:rPr/>
              <w:t> </w:t>
            </w:r>
          </w:p>
        </w:tc>
        <w:tc>
          <w:tcPr>
            <w:tcW w:w="963" w:type="dxa"/>
            <w:gridSpan w:val="2"/>
            <w:tcBorders>
              <w:bottom w:val="single" w:sz="8" w:space="0" w:color="000000"/>
            </w:tcBorders>
            <w:tcMar>
              <w:bottom w:w="28" w:type="dxa"/>
            </w:tcMar>
            <w:vAlign w:val="center"/>
          </w:tcPr>
          <w:p>
            <w:pPr>
              <w:pStyle w:val="TableContents"/>
              <w:bidi w:val="0"/>
              <w:spacing w:before="0" w:after="283"/>
              <w:jc w:val="center"/>
              <w:rPr>
                <w:b/>
                <w:sz w:val="16"/>
              </w:rPr>
            </w:pPr>
            <w:r>
              <w:rPr>
                <w:b/>
                <w:sz w:val="16"/>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0" w:type="dxa"/>
            <w:gridSpan w:val="2"/>
            <w:tcBorders>
              <w:bottom w:val="single" w:sz="8" w:space="0" w:color="000000"/>
            </w:tcBorders>
            <w:tcMar>
              <w:bottom w:w="28" w:type="dxa"/>
            </w:tcMar>
            <w:vAlign w:val="center"/>
          </w:tcPr>
          <w:p>
            <w:pPr>
              <w:pStyle w:val="TableContents"/>
              <w:bidi w:val="0"/>
              <w:spacing w:before="0" w:after="283"/>
              <w:jc w:val="center"/>
              <w:rPr>
                <w:b/>
                <w:sz w:val="16"/>
              </w:rPr>
            </w:pPr>
            <w:r>
              <w:rPr>
                <w:b/>
                <w:sz w:val="16"/>
              </w:rPr>
              <w: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20" w:type="dxa"/>
            <w:gridSpan w:val="2"/>
            <w:tcBorders>
              <w:bottom w:val="single" w:sz="8" w:space="0" w:color="000000"/>
            </w:tcBorders>
            <w:tcMar>
              <w:bottom w:w="28" w:type="dxa"/>
            </w:tcMar>
            <w:vAlign w:val="center"/>
          </w:tcPr>
          <w:p>
            <w:pPr>
              <w:pStyle w:val="TableContents"/>
              <w:bidi w:val="0"/>
              <w:spacing w:before="0" w:after="283"/>
              <w:jc w:val="center"/>
              <w:rPr>
                <w:b/>
                <w:sz w:val="16"/>
              </w:rPr>
            </w:pPr>
            <w:r>
              <w:rPr>
                <w:b/>
                <w:sz w:val="16"/>
              </w:rPr>
              <w:t>%</w:t>
            </w:r>
          </w:p>
        </w:tc>
        <w:tc>
          <w:tcPr>
            <w:tcW w:w="300" w:type="dxa"/>
            <w:tcBorders/>
            <w:vAlign w:val="center"/>
          </w:tcPr>
          <w:p>
            <w:pPr>
              <w:pStyle w:val="TableContents"/>
              <w:bidi w:val="0"/>
              <w:spacing w:before="0" w:after="283"/>
              <w:jc w:val="left"/>
              <w:rPr/>
            </w:pPr>
            <w:r>
              <w:rPr/>
              <w:t> </w:t>
            </w:r>
          </w:p>
        </w:tc>
      </w:tr>
      <w:tr>
        <w:trPr/>
        <w:tc>
          <w:tcPr>
            <w:tcW w:w="6133" w:type="dxa"/>
            <w:tcBorders/>
            <w:shd w:fill="CCEEFF" w:val="clear"/>
            <w:vAlign w:val="center"/>
          </w:tcPr>
          <w:p>
            <w:pPr>
              <w:pStyle w:val="TableContents"/>
              <w:bidi w:val="0"/>
              <w:spacing w:before="0" w:after="283"/>
              <w:jc w:val="left"/>
              <w:rPr/>
            </w:pPr>
            <w:r>
              <w:rPr/>
              <w:t>Net cash and cash equivalents provided by (used in) operating activities</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w:t>
            </w:r>
          </w:p>
        </w:tc>
        <w:tc>
          <w:tcPr>
            <w:tcW w:w="683" w:type="dxa"/>
            <w:tcBorders/>
            <w:shd w:fill="CCEEFF" w:val="clear"/>
            <w:vAlign w:val="center"/>
          </w:tcPr>
          <w:p>
            <w:pPr>
              <w:pStyle w:val="TableContents"/>
              <w:bidi w:val="0"/>
              <w:spacing w:before="0" w:after="283"/>
              <w:jc w:val="right"/>
              <w:rPr/>
            </w:pPr>
            <w:r>
              <w:rPr/>
              <w:t>9,725</w:t>
            </w:r>
          </w:p>
        </w:tc>
        <w:tc>
          <w:tcPr>
            <w:tcW w:w="102"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w:t>
            </w:r>
          </w:p>
        </w:tc>
        <w:tc>
          <w:tcPr>
            <w:tcW w:w="813" w:type="dxa"/>
            <w:tcBorders/>
            <w:shd w:fill="CCEEFF" w:val="clear"/>
            <w:vAlign w:val="center"/>
          </w:tcPr>
          <w:p>
            <w:pPr>
              <w:pStyle w:val="TableContents"/>
              <w:bidi w:val="0"/>
              <w:spacing w:before="0" w:after="283"/>
              <w:jc w:val="right"/>
              <w:rPr/>
            </w:pPr>
            <w:r>
              <w:rPr/>
              <w:t>(15,190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680" w:type="dxa"/>
            <w:tcBorders/>
            <w:shd w:fill="CCEEFF" w:val="clear"/>
            <w:vAlign w:val="center"/>
          </w:tcPr>
          <w:p>
            <w:pPr>
              <w:pStyle w:val="TableContents"/>
              <w:bidi w:val="0"/>
              <w:spacing w:before="0" w:after="283"/>
              <w:jc w:val="right"/>
              <w:rPr/>
            </w:pPr>
            <w:r>
              <w:rPr/>
              <w:t>24,915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164.0</w:t>
            </w:r>
          </w:p>
        </w:tc>
        <w:tc>
          <w:tcPr>
            <w:tcW w:w="300" w:type="dxa"/>
            <w:tcBorders/>
            <w:shd w:fill="CCEEFF" w:val="clear"/>
            <w:vAlign w:val="center"/>
          </w:tcPr>
          <w:p>
            <w:pPr>
              <w:pStyle w:val="TableContents"/>
              <w:bidi w:val="0"/>
              <w:spacing w:before="0" w:after="283"/>
              <w:jc w:val="left"/>
              <w:rPr/>
            </w:pPr>
            <w:r>
              <w:rPr/>
              <w:t>%</w:t>
            </w:r>
          </w:p>
        </w:tc>
      </w:tr>
      <w:tr>
        <w:trPr/>
        <w:tc>
          <w:tcPr>
            <w:tcW w:w="6133" w:type="dxa"/>
            <w:tcBorders/>
            <w:shd w:fill="FFFFFF" w:val="clear"/>
            <w:vAlign w:val="center"/>
          </w:tcPr>
          <w:p>
            <w:pPr>
              <w:pStyle w:val="TableContents"/>
              <w:bidi w:val="0"/>
              <w:spacing w:before="0" w:after="283"/>
              <w:jc w:val="left"/>
              <w:rPr/>
            </w:pPr>
            <w:r>
              <w:rPr/>
              <w:t>Cash paid for interest</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683" w:type="dxa"/>
            <w:tcBorders/>
            <w:shd w:fill="FFFFFF" w:val="clear"/>
            <w:vAlign w:val="center"/>
          </w:tcPr>
          <w:p>
            <w:pPr>
              <w:pStyle w:val="TableContents"/>
              <w:bidi w:val="0"/>
              <w:spacing w:before="0" w:after="283"/>
              <w:jc w:val="right"/>
              <w:rPr/>
            </w:pPr>
            <w:r>
              <w:rPr/>
              <w:t>1,756</w:t>
            </w:r>
          </w:p>
        </w:tc>
        <w:tc>
          <w:tcPr>
            <w:tcW w:w="102"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813" w:type="dxa"/>
            <w:tcBorders/>
            <w:shd w:fill="FFFFFF" w:val="clear"/>
            <w:vAlign w:val="center"/>
          </w:tcPr>
          <w:p>
            <w:pPr>
              <w:pStyle w:val="TableContents"/>
              <w:bidi w:val="0"/>
              <w:spacing w:before="0" w:after="283"/>
              <w:jc w:val="right"/>
              <w:rPr/>
            </w:pPr>
            <w:r>
              <w:rPr/>
              <w:t>2,158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(402</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pPr>
            <w:r>
              <w:rPr/>
              <w:t>18.6</w:t>
            </w:r>
          </w:p>
        </w:tc>
        <w:tc>
          <w:tcPr>
            <w:tcW w:w="300" w:type="dxa"/>
            <w:tcBorders/>
            <w:shd w:fill="FFFFFF" w:val="clear"/>
            <w:vAlign w:val="center"/>
          </w:tcPr>
          <w:p>
            <w:pPr>
              <w:pStyle w:val="TableContents"/>
              <w:bidi w:val="0"/>
              <w:spacing w:before="0" w:after="283"/>
              <w:jc w:val="left"/>
              <w:rPr/>
            </w:pPr>
            <w:r>
              <w:rPr/>
              <w:t>%</w:t>
            </w:r>
          </w:p>
        </w:tc>
      </w:tr>
      <w:tr>
        <w:trPr/>
        <w:tc>
          <w:tcPr>
            <w:tcW w:w="6133" w:type="dxa"/>
            <w:tcBorders/>
            <w:shd w:fill="CCEEFF" w:val="clear"/>
            <w:vAlign w:val="center"/>
          </w:tcPr>
          <w:p>
            <w:pPr>
              <w:pStyle w:val="TableContents"/>
              <w:bidi w:val="0"/>
              <w:spacing w:before="0" w:after="283"/>
              <w:jc w:val="left"/>
              <w:rPr/>
            </w:pPr>
            <w:r>
              <w:rPr/>
              <w:t>Purchases of property and equipment</w:t>
            </w:r>
          </w:p>
        </w:tc>
        <w:tc>
          <w:tcPr>
            <w:tcW w:w="60" w:type="dxa"/>
            <w:tcBorders/>
            <w:shd w:fill="CCEEFF" w:val="clear"/>
            <w:vAlign w:val="center"/>
          </w:tcPr>
          <w:p>
            <w:pPr>
              <w:pStyle w:val="TableContents"/>
              <w:bidi w:val="0"/>
              <w:spacing w:before="0" w:after="283"/>
              <w:jc w:val="left"/>
              <w:rPr/>
            </w:pPr>
            <w:r>
              <w:rPr/>
              <w:t> </w:t>
            </w:r>
          </w:p>
        </w:tc>
        <w:tc>
          <w:tcPr>
            <w:tcW w:w="15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83" w:type="dxa"/>
            <w:tcBorders>
              <w:bottom w:val="single" w:sz="8" w:space="0" w:color="000000"/>
            </w:tcBorders>
            <w:shd w:fill="CCEEFF" w:val="clear"/>
            <w:tcMar>
              <w:bottom w:w="28" w:type="dxa"/>
            </w:tcMar>
            <w:vAlign w:val="center"/>
          </w:tcPr>
          <w:p>
            <w:pPr>
              <w:pStyle w:val="TableContents"/>
              <w:bidi w:val="0"/>
              <w:spacing w:before="0" w:after="283"/>
              <w:jc w:val="right"/>
              <w:rPr/>
            </w:pPr>
            <w:r>
              <w:rPr/>
              <w:t>(1,950</w:t>
            </w:r>
          </w:p>
        </w:tc>
        <w:tc>
          <w:tcPr>
            <w:tcW w:w="102" w:type="dxa"/>
            <w:tcBorders/>
            <w:shd w:fill="CCEEFF" w:val="clear"/>
            <w:vAlign w:val="center"/>
          </w:tcPr>
          <w:p>
            <w:pPr>
              <w:pStyle w:val="TableContents"/>
              <w:bidi w:val="0"/>
              <w:spacing w:before="0" w:after="283"/>
              <w:jc w:val="left"/>
              <w:rPr/>
            </w:pPr>
            <w:r>
              <w:rPr/>
              <w:t>)</w:t>
            </w:r>
          </w:p>
        </w:tc>
        <w:tc>
          <w:tcPr>
            <w:tcW w:w="64" w:type="dxa"/>
            <w:tcBorders/>
            <w:shd w:fill="CCEEFF" w:val="clear"/>
            <w:vAlign w:val="center"/>
          </w:tcPr>
          <w:p>
            <w:pPr>
              <w:pStyle w:val="TableContents"/>
              <w:bidi w:val="0"/>
              <w:spacing w:before="0" w:after="283"/>
              <w:jc w:val="left"/>
              <w:rPr/>
            </w:pPr>
            <w:r>
              <w:rPr/>
              <w:t> </w:t>
            </w:r>
          </w:p>
        </w:tc>
        <w:tc>
          <w:tcPr>
            <w:tcW w:w="15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13" w:type="dxa"/>
            <w:tcBorders>
              <w:bottom w:val="single" w:sz="8" w:space="0" w:color="000000"/>
            </w:tcBorders>
            <w:shd w:fill="CCEEFF" w:val="clear"/>
            <w:tcMar>
              <w:bottom w:w="28" w:type="dxa"/>
            </w:tcMar>
            <w:vAlign w:val="center"/>
          </w:tcPr>
          <w:p>
            <w:pPr>
              <w:pStyle w:val="TableContents"/>
              <w:bidi w:val="0"/>
              <w:spacing w:before="0" w:after="283"/>
              <w:jc w:val="right"/>
              <w:rPr/>
            </w:pPr>
            <w:r>
              <w:rPr/>
              <w:t>(1,536</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80" w:type="dxa"/>
            <w:tcBorders>
              <w:bottom w:val="single" w:sz="8" w:space="0" w:color="000000"/>
            </w:tcBorders>
            <w:shd w:fill="CCEEFF" w:val="clear"/>
            <w:tcMar>
              <w:bottom w:w="28" w:type="dxa"/>
            </w:tcMar>
            <w:vAlign w:val="center"/>
          </w:tcPr>
          <w:p>
            <w:pPr>
              <w:pStyle w:val="TableContents"/>
              <w:bidi w:val="0"/>
              <w:spacing w:before="0" w:after="283"/>
              <w:jc w:val="right"/>
              <w:rPr/>
            </w:pPr>
            <w:r>
              <w:rPr/>
              <w:t>(414</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560" w:type="dxa"/>
            <w:tcBorders>
              <w:bottom w:val="single" w:sz="8" w:space="0" w:color="000000"/>
            </w:tcBorders>
            <w:shd w:fill="CCEEFF" w:val="clear"/>
            <w:tcMar>
              <w:bottom w:w="28" w:type="dxa"/>
            </w:tcMar>
            <w:vAlign w:val="center"/>
          </w:tcPr>
          <w:p>
            <w:pPr>
              <w:pStyle w:val="TableContents"/>
              <w:bidi w:val="0"/>
              <w:spacing w:before="0" w:after="283"/>
              <w:jc w:val="right"/>
              <w:rPr/>
            </w:pPr>
            <w:r>
              <w:rPr/>
              <w:t>(27.0</w:t>
            </w:r>
          </w:p>
        </w:tc>
        <w:tc>
          <w:tcPr>
            <w:tcW w:w="300" w:type="dxa"/>
            <w:tcBorders/>
            <w:shd w:fill="CCEEFF" w:val="clear"/>
            <w:vAlign w:val="center"/>
          </w:tcPr>
          <w:p>
            <w:pPr>
              <w:pStyle w:val="TableContents"/>
              <w:bidi w:val="0"/>
              <w:spacing w:before="0" w:after="283"/>
              <w:jc w:val="left"/>
              <w:rPr/>
            </w:pPr>
            <w:r>
              <w:rPr/>
              <w:t>)%</w:t>
            </w:r>
          </w:p>
        </w:tc>
      </w:tr>
      <w:tr>
        <w:trPr/>
        <w:tc>
          <w:tcPr>
            <w:tcW w:w="6133" w:type="dxa"/>
            <w:tcBorders/>
            <w:shd w:fill="FFFFFF" w:val="clear"/>
            <w:vAlign w:val="center"/>
          </w:tcPr>
          <w:p>
            <w:pPr>
              <w:pStyle w:val="TableContents"/>
              <w:bidi w:val="0"/>
              <w:spacing w:before="0" w:after="283"/>
              <w:jc w:val="left"/>
              <w:rPr/>
            </w:pPr>
            <w:r>
              <w:rPr/>
              <w:t>Free Cash Flow</w:t>
            </w:r>
          </w:p>
        </w:tc>
        <w:tc>
          <w:tcPr>
            <w:tcW w:w="60" w:type="dxa"/>
            <w:tcBorders/>
            <w:shd w:fill="FFFFFF" w:val="clear"/>
            <w:vAlign w:val="center"/>
          </w:tcPr>
          <w:p>
            <w:pPr>
              <w:pStyle w:val="TableContents"/>
              <w:bidi w:val="0"/>
              <w:spacing w:before="0" w:after="283"/>
              <w:jc w:val="left"/>
              <w:rPr/>
            </w:pPr>
            <w:r>
              <w:rPr/>
              <w:t> </w:t>
            </w:r>
          </w:p>
        </w:tc>
        <w:tc>
          <w:tcPr>
            <w:tcW w:w="15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683" w:type="dxa"/>
            <w:tcBorders>
              <w:bottom w:val="double" w:sz="6" w:space="0" w:color="000000"/>
            </w:tcBorders>
            <w:shd w:fill="FFFFFF" w:val="clear"/>
            <w:tcMar>
              <w:bottom w:w="28" w:type="dxa"/>
            </w:tcMar>
            <w:vAlign w:val="center"/>
          </w:tcPr>
          <w:p>
            <w:pPr>
              <w:pStyle w:val="TableContents"/>
              <w:bidi w:val="0"/>
              <w:spacing w:before="0" w:after="283"/>
              <w:jc w:val="right"/>
              <w:rPr/>
            </w:pPr>
            <w:r>
              <w:rPr/>
              <w:t>9,531</w:t>
            </w:r>
          </w:p>
        </w:tc>
        <w:tc>
          <w:tcPr>
            <w:tcW w:w="102"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15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813" w:type="dxa"/>
            <w:tcBorders>
              <w:bottom w:val="double" w:sz="6" w:space="0" w:color="000000"/>
            </w:tcBorders>
            <w:shd w:fill="FFFFFF" w:val="clear"/>
            <w:tcMar>
              <w:bottom w:w="28" w:type="dxa"/>
            </w:tcMar>
            <w:vAlign w:val="center"/>
          </w:tcPr>
          <w:p>
            <w:pPr>
              <w:pStyle w:val="TableContents"/>
              <w:bidi w:val="0"/>
              <w:spacing w:before="0" w:after="283"/>
              <w:jc w:val="right"/>
              <w:rPr/>
            </w:pPr>
            <w:r>
              <w:rPr/>
              <w:t>(14,568</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680" w:type="dxa"/>
            <w:tcBorders>
              <w:bottom w:val="double" w:sz="6" w:space="0" w:color="000000"/>
            </w:tcBorders>
            <w:shd w:fill="FFFFFF" w:val="clear"/>
            <w:tcMar>
              <w:bottom w:w="28" w:type="dxa"/>
            </w:tcMar>
            <w:vAlign w:val="center"/>
          </w:tcPr>
          <w:p>
            <w:pPr>
              <w:pStyle w:val="TableContents"/>
              <w:bidi w:val="0"/>
              <w:spacing w:before="0" w:after="283"/>
              <w:jc w:val="right"/>
              <w:rPr/>
            </w:pPr>
            <w:r>
              <w:rPr/>
              <w:t>24,099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560" w:type="dxa"/>
            <w:tcBorders>
              <w:bottom w:val="double" w:sz="6" w:space="0" w:color="000000"/>
            </w:tcBorders>
            <w:shd w:fill="FFFFFF" w:val="clear"/>
            <w:tcMar>
              <w:bottom w:w="28" w:type="dxa"/>
            </w:tcMar>
            <w:vAlign w:val="center"/>
          </w:tcPr>
          <w:p>
            <w:pPr>
              <w:pStyle w:val="TableContents"/>
              <w:bidi w:val="0"/>
              <w:spacing w:before="0" w:after="283"/>
              <w:jc w:val="right"/>
              <w:rPr/>
            </w:pPr>
            <w:r>
              <w:rPr/>
              <w:t>165.4</w:t>
            </w:r>
          </w:p>
        </w:tc>
        <w:tc>
          <w:tcPr>
            <w:tcW w:w="300" w:type="dxa"/>
            <w:tcBorders/>
            <w:shd w:fill="FFFFFF" w:val="clear"/>
            <w:vAlign w:val="center"/>
          </w:tcPr>
          <w:p>
            <w:pPr>
              <w:pStyle w:val="TableContents"/>
              <w:bidi w:val="0"/>
              <w:spacing w:before="0" w:after="283"/>
              <w:jc w:val="left"/>
              <w:rPr/>
            </w:pPr>
            <w:r>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150"/>
        <w:gridCol w:w="60"/>
        <w:gridCol w:w="145"/>
        <w:gridCol w:w="661"/>
        <w:gridCol w:w="98"/>
        <w:gridCol w:w="62"/>
        <w:gridCol w:w="145"/>
        <w:gridCol w:w="786"/>
        <w:gridCol w:w="95"/>
        <w:gridCol w:w="60"/>
        <w:gridCol w:w="140"/>
        <w:gridCol w:w="635"/>
        <w:gridCol w:w="95"/>
        <w:gridCol w:w="60"/>
        <w:gridCol w:w="60"/>
        <w:gridCol w:w="635"/>
        <w:gridCol w:w="230"/>
        <w:gridCol w:w="60"/>
        <w:gridCol w:w="140"/>
        <w:gridCol w:w="758"/>
        <w:gridCol w:w="95"/>
        <w:gridCol w:w="60"/>
        <w:gridCol w:w="140"/>
        <w:gridCol w:w="758"/>
        <w:gridCol w:w="95"/>
        <w:gridCol w:w="60"/>
        <w:gridCol w:w="140"/>
        <w:gridCol w:w="680"/>
        <w:gridCol w:w="95"/>
        <w:gridCol w:w="60"/>
        <w:gridCol w:w="60"/>
        <w:gridCol w:w="635"/>
        <w:gridCol w:w="252"/>
      </w:tblGrid>
      <w:tr>
        <w:trPr/>
        <w:tc>
          <w:tcPr>
            <w:tcW w:w="10205" w:type="dxa"/>
            <w:gridSpan w:val="33"/>
            <w:tcBorders/>
            <w:vAlign w:val="center"/>
          </w:tcPr>
          <w:p>
            <w:pPr>
              <w:pStyle w:val="TableContents"/>
              <w:bidi w:val="0"/>
              <w:spacing w:before="0" w:after="283"/>
              <w:jc w:val="center"/>
              <w:rPr>
                <w:b/>
                <w:sz w:val="16"/>
              </w:rPr>
            </w:pPr>
            <w:r>
              <w:rPr>
                <w:b/>
                <w:sz w:val="16"/>
              </w:rPr>
              <w:t>Adjusted EBITDA Reconciliation</w:t>
            </w:r>
          </w:p>
        </w:tc>
      </w:tr>
      <w:tr>
        <w:trPr/>
        <w:tc>
          <w:tcPr>
            <w:tcW w:w="10205" w:type="dxa"/>
            <w:gridSpan w:val="33"/>
            <w:tcBorders/>
            <w:vAlign w:val="center"/>
          </w:tcPr>
          <w:p>
            <w:pPr>
              <w:pStyle w:val="TableContents"/>
              <w:bidi w:val="0"/>
              <w:spacing w:before="0" w:after="283"/>
              <w:jc w:val="center"/>
              <w:rPr/>
            </w:pPr>
            <w:r>
              <w:rPr/>
              <w:t> </w:t>
            </w:r>
          </w:p>
        </w:tc>
      </w:tr>
      <w:tr>
        <w:trPr/>
        <w:tc>
          <w:tcPr>
            <w:tcW w:w="21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97" w:type="dxa"/>
            <w:gridSpan w:val="6"/>
            <w:tcBorders>
              <w:bottom w:val="single" w:sz="8" w:space="0" w:color="000000"/>
            </w:tcBorders>
            <w:tcMar>
              <w:bottom w:w="28" w:type="dxa"/>
            </w:tcMar>
            <w:vAlign w:val="center"/>
          </w:tcPr>
          <w:p>
            <w:pPr>
              <w:pStyle w:val="TableContents"/>
              <w:bidi w:val="0"/>
              <w:spacing w:before="0" w:after="283"/>
              <w:jc w:val="center"/>
              <w:rPr>
                <w:b/>
                <w:sz w:val="16"/>
              </w:rPr>
            </w:pPr>
            <w:r>
              <w:rPr>
                <w:b/>
                <w:sz w:val="16"/>
              </w:rPr>
              <w:t>Three Months Ended June 30,</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25" w:type="dxa"/>
            <w:gridSpan w:val="6"/>
            <w:tcBorders>
              <w:bottom w:val="single" w:sz="8" w:space="0" w:color="000000"/>
            </w:tcBorders>
            <w:tcMar>
              <w:bottom w:w="28" w:type="dxa"/>
            </w:tcMar>
            <w:vAlign w:val="center"/>
          </w:tcPr>
          <w:p>
            <w:pPr>
              <w:pStyle w:val="TableContents"/>
              <w:bidi w:val="0"/>
              <w:spacing w:before="0" w:after="283"/>
              <w:jc w:val="center"/>
              <w:rPr>
                <w:b/>
                <w:sz w:val="16"/>
              </w:rPr>
            </w:pPr>
            <w:r>
              <w:rPr>
                <w:b/>
                <w:sz w:val="16"/>
              </w:rPr>
              <w:t>Change</w:t>
            </w:r>
          </w:p>
        </w:tc>
        <w:tc>
          <w:tcPr>
            <w:tcW w:w="2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51" w:type="dxa"/>
            <w:gridSpan w:val="6"/>
            <w:tcBorders>
              <w:bottom w:val="single" w:sz="8" w:space="0" w:color="000000"/>
            </w:tcBorders>
            <w:tcMar>
              <w:bottom w:w="28" w:type="dxa"/>
            </w:tcMar>
            <w:vAlign w:val="center"/>
          </w:tcPr>
          <w:p>
            <w:pPr>
              <w:pStyle w:val="TableContents"/>
              <w:bidi w:val="0"/>
              <w:spacing w:before="0" w:after="283"/>
              <w:jc w:val="center"/>
              <w:rPr>
                <w:b/>
                <w:sz w:val="16"/>
              </w:rPr>
            </w:pPr>
            <w:r>
              <w:rPr>
                <w:b/>
                <w:sz w:val="16"/>
              </w:rPr>
              <w:t>Six Months Ended June 30,</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70" w:type="dxa"/>
            <w:gridSpan w:val="6"/>
            <w:tcBorders>
              <w:bottom w:val="single" w:sz="8" w:space="0" w:color="000000"/>
            </w:tcBorders>
            <w:tcMar>
              <w:bottom w:w="28" w:type="dxa"/>
            </w:tcMar>
            <w:vAlign w:val="center"/>
          </w:tcPr>
          <w:p>
            <w:pPr>
              <w:pStyle w:val="TableContents"/>
              <w:bidi w:val="0"/>
              <w:spacing w:before="0" w:after="283"/>
              <w:jc w:val="center"/>
              <w:rPr>
                <w:b/>
                <w:sz w:val="16"/>
              </w:rPr>
            </w:pPr>
            <w:r>
              <w:rPr>
                <w:b/>
                <w:sz w:val="16"/>
              </w:rPr>
              <w:t>Change</w:t>
            </w:r>
          </w:p>
        </w:tc>
        <w:tc>
          <w:tcPr>
            <w:tcW w:w="252" w:type="dxa"/>
            <w:tcBorders/>
            <w:vAlign w:val="center"/>
          </w:tcPr>
          <w:p>
            <w:pPr>
              <w:pStyle w:val="TableContents"/>
              <w:bidi w:val="0"/>
              <w:spacing w:before="0" w:after="283"/>
              <w:jc w:val="left"/>
              <w:rPr/>
            </w:pPr>
            <w:r>
              <w:rPr/>
              <w:t> </w:t>
            </w:r>
          </w:p>
        </w:tc>
      </w:tr>
      <w:tr>
        <w:trPr/>
        <w:tc>
          <w:tcPr>
            <w:tcW w:w="2150" w:type="dxa"/>
            <w:tcBorders>
              <w:bottom w:val="single" w:sz="8" w:space="0" w:color="000000"/>
            </w:tcBorders>
            <w:tcMar>
              <w:bottom w:w="28" w:type="dxa"/>
            </w:tcMar>
            <w:vAlign w:val="center"/>
          </w:tcPr>
          <w:p>
            <w:pPr>
              <w:pStyle w:val="TableContents"/>
              <w:bidi w:val="0"/>
              <w:spacing w:before="0" w:after="283"/>
              <w:jc w:val="left"/>
              <w:rPr>
                <w:i/>
                <w:sz w:val="16"/>
              </w:rPr>
            </w:pPr>
            <w:r>
              <w:rPr>
                <w:i/>
                <w:sz w:val="16"/>
              </w:rPr>
              <w:t>(dollars in thousands)</w:t>
            </w:r>
          </w:p>
        </w:tc>
        <w:tc>
          <w:tcPr>
            <w:tcW w:w="60" w:type="dxa"/>
            <w:tcBorders/>
            <w:vAlign w:val="center"/>
          </w:tcPr>
          <w:p>
            <w:pPr>
              <w:pStyle w:val="TableContents"/>
              <w:bidi w:val="0"/>
              <w:spacing w:before="0" w:after="283"/>
              <w:jc w:val="left"/>
              <w:rPr/>
            </w:pPr>
            <w:r>
              <w:rPr/>
              <w:t> </w:t>
            </w:r>
          </w:p>
        </w:tc>
        <w:tc>
          <w:tcPr>
            <w:tcW w:w="806" w:type="dxa"/>
            <w:gridSpan w:val="2"/>
            <w:tcBorders>
              <w:bottom w:val="single" w:sz="8" w:space="0" w:color="000000"/>
            </w:tcBorders>
            <w:tcMar>
              <w:bottom w:w="28" w:type="dxa"/>
            </w:tcMar>
            <w:vAlign w:val="center"/>
          </w:tcPr>
          <w:p>
            <w:pPr>
              <w:pStyle w:val="TableContents"/>
              <w:bidi w:val="0"/>
              <w:spacing w:before="0" w:after="283"/>
              <w:jc w:val="center"/>
              <w:rPr>
                <w:b/>
                <w:sz w:val="16"/>
              </w:rPr>
            </w:pPr>
            <w:r>
              <w:rPr>
                <w:b/>
                <w:sz w:val="16"/>
              </w:rPr>
              <w:t>2026</w:t>
            </w:r>
          </w:p>
        </w:tc>
        <w:tc>
          <w:tcPr>
            <w:tcW w:w="98"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jc w:val="left"/>
              <w:rPr/>
            </w:pPr>
            <w:r>
              <w:rPr/>
              <w:t> </w:t>
            </w:r>
          </w:p>
        </w:tc>
        <w:tc>
          <w:tcPr>
            <w:tcW w:w="931" w:type="dxa"/>
            <w:gridSpan w:val="2"/>
            <w:tcBorders>
              <w:bottom w:val="single" w:sz="8" w:space="0" w:color="000000"/>
            </w:tcBorders>
            <w:tcMar>
              <w:bottom w:w="28" w:type="dxa"/>
            </w:tcMar>
            <w:vAlign w:val="center"/>
          </w:tcPr>
          <w:p>
            <w:pPr>
              <w:pStyle w:val="TableContents"/>
              <w:bidi w:val="0"/>
              <w:spacing w:before="0" w:after="283"/>
              <w:jc w:val="center"/>
              <w:rPr>
                <w:b/>
                <w:sz w:val="16"/>
              </w:rPr>
            </w:pPr>
            <w:r>
              <w:rPr>
                <w:b/>
                <w:sz w:val="16"/>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75" w:type="dxa"/>
            <w:gridSpan w:val="2"/>
            <w:tcBorders>
              <w:bottom w:val="single" w:sz="8" w:space="0" w:color="000000"/>
            </w:tcBorders>
            <w:tcMar>
              <w:bottom w:w="28" w:type="dxa"/>
            </w:tcMar>
            <w:vAlign w:val="center"/>
          </w:tcPr>
          <w:p>
            <w:pPr>
              <w:pStyle w:val="TableContents"/>
              <w:bidi w:val="0"/>
              <w:spacing w:before="0" w:after="283"/>
              <w:jc w:val="center"/>
              <w:rPr>
                <w:b/>
                <w:sz w:val="16"/>
              </w:rPr>
            </w:pPr>
            <w:r>
              <w:rPr>
                <w:b/>
                <w:sz w:val="16"/>
              </w:rPr>
              <w: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95" w:type="dxa"/>
            <w:gridSpan w:val="2"/>
            <w:tcBorders>
              <w:bottom w:val="single" w:sz="8" w:space="0" w:color="000000"/>
            </w:tcBorders>
            <w:tcMar>
              <w:bottom w:w="28" w:type="dxa"/>
            </w:tcMar>
            <w:vAlign w:val="center"/>
          </w:tcPr>
          <w:p>
            <w:pPr>
              <w:pStyle w:val="TableContents"/>
              <w:bidi w:val="0"/>
              <w:spacing w:before="0" w:after="283"/>
              <w:jc w:val="center"/>
              <w:rPr>
                <w:b/>
                <w:sz w:val="16"/>
              </w:rPr>
            </w:pPr>
            <w:r>
              <w:rPr>
                <w:b/>
                <w:sz w:val="16"/>
              </w:rPr>
              <w:t>%</w:t>
            </w:r>
          </w:p>
        </w:tc>
        <w:tc>
          <w:tcPr>
            <w:tcW w:w="2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8" w:type="dxa"/>
            <w:gridSpan w:val="2"/>
            <w:tcBorders>
              <w:bottom w:val="single" w:sz="8" w:space="0" w:color="000000"/>
            </w:tcBorders>
            <w:tcMar>
              <w:bottom w:w="28" w:type="dxa"/>
            </w:tcMar>
            <w:vAlign w:val="center"/>
          </w:tcPr>
          <w:p>
            <w:pPr>
              <w:pStyle w:val="TableContents"/>
              <w:bidi w:val="0"/>
              <w:spacing w:before="0" w:after="283"/>
              <w:jc w:val="center"/>
              <w:rPr>
                <w:b/>
                <w:sz w:val="16"/>
              </w:rPr>
            </w:pPr>
            <w:r>
              <w:rPr>
                <w:b/>
                <w:sz w:val="16"/>
              </w:rPr>
              <w:t>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8" w:type="dxa"/>
            <w:gridSpan w:val="2"/>
            <w:tcBorders>
              <w:bottom w:val="single" w:sz="8" w:space="0" w:color="000000"/>
            </w:tcBorders>
            <w:tcMar>
              <w:bottom w:w="28" w:type="dxa"/>
            </w:tcMar>
            <w:vAlign w:val="center"/>
          </w:tcPr>
          <w:p>
            <w:pPr>
              <w:pStyle w:val="TableContents"/>
              <w:bidi w:val="0"/>
              <w:spacing w:before="0" w:after="283"/>
              <w:jc w:val="center"/>
              <w:rPr>
                <w:b/>
                <w:sz w:val="16"/>
              </w:rPr>
            </w:pPr>
            <w:r>
              <w:rPr>
                <w:b/>
                <w:sz w:val="16"/>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0" w:type="dxa"/>
            <w:gridSpan w:val="2"/>
            <w:tcBorders>
              <w:bottom w:val="single" w:sz="8" w:space="0" w:color="000000"/>
            </w:tcBorders>
            <w:tcMar>
              <w:bottom w:w="28" w:type="dxa"/>
            </w:tcMar>
            <w:vAlign w:val="center"/>
          </w:tcPr>
          <w:p>
            <w:pPr>
              <w:pStyle w:val="TableContents"/>
              <w:bidi w:val="0"/>
              <w:spacing w:before="0" w:after="283"/>
              <w:jc w:val="center"/>
              <w:rPr>
                <w:b/>
                <w:sz w:val="16"/>
              </w:rPr>
            </w:pPr>
            <w:r>
              <w:rPr>
                <w:b/>
                <w:sz w:val="16"/>
              </w:rPr>
              <w: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95" w:type="dxa"/>
            <w:gridSpan w:val="2"/>
            <w:tcBorders>
              <w:bottom w:val="single" w:sz="8" w:space="0" w:color="000000"/>
            </w:tcBorders>
            <w:tcMar>
              <w:bottom w:w="28" w:type="dxa"/>
            </w:tcMar>
            <w:vAlign w:val="center"/>
          </w:tcPr>
          <w:p>
            <w:pPr>
              <w:pStyle w:val="TableContents"/>
              <w:bidi w:val="0"/>
              <w:spacing w:before="0" w:after="283"/>
              <w:jc w:val="center"/>
              <w:rPr>
                <w:b/>
                <w:sz w:val="16"/>
              </w:rPr>
            </w:pPr>
            <w:r>
              <w:rPr>
                <w:b/>
                <w:sz w:val="16"/>
              </w:rPr>
              <w:t>%</w:t>
            </w:r>
          </w:p>
        </w:tc>
        <w:tc>
          <w:tcPr>
            <w:tcW w:w="252" w:type="dxa"/>
            <w:tcBorders/>
            <w:vAlign w:val="center"/>
          </w:tcPr>
          <w:p>
            <w:pPr>
              <w:pStyle w:val="TableContents"/>
              <w:bidi w:val="0"/>
              <w:spacing w:before="0" w:after="283"/>
              <w:jc w:val="left"/>
              <w:rPr/>
            </w:pPr>
            <w:r>
              <w:rPr/>
              <w:t> </w:t>
            </w:r>
          </w:p>
        </w:tc>
      </w:tr>
      <w:tr>
        <w:trPr/>
        <w:tc>
          <w:tcPr>
            <w:tcW w:w="2150" w:type="dxa"/>
            <w:tcBorders/>
            <w:shd w:fill="CCEEFF" w:val="clear"/>
            <w:vAlign w:val="center"/>
          </w:tcPr>
          <w:p>
            <w:pPr>
              <w:pStyle w:val="TableContents"/>
              <w:bidi w:val="0"/>
              <w:spacing w:before="0" w:after="283"/>
              <w:jc w:val="left"/>
              <w:rPr/>
            </w:pPr>
            <w:r>
              <w:rPr/>
              <w:t>Net loss</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w:t>
            </w:r>
          </w:p>
        </w:tc>
        <w:tc>
          <w:tcPr>
            <w:tcW w:w="661" w:type="dxa"/>
            <w:tcBorders/>
            <w:shd w:fill="CCEEFF" w:val="clear"/>
            <w:vAlign w:val="center"/>
          </w:tcPr>
          <w:p>
            <w:pPr>
              <w:pStyle w:val="TableContents"/>
              <w:bidi w:val="0"/>
              <w:spacing w:before="0" w:after="283"/>
              <w:jc w:val="right"/>
              <w:rPr/>
            </w:pPr>
            <w:r>
              <w:rPr/>
              <w:t>(9,789</w:t>
            </w:r>
          </w:p>
        </w:tc>
        <w:tc>
          <w:tcPr>
            <w:tcW w:w="98" w:type="dxa"/>
            <w:tcBorders/>
            <w:shd w:fill="CCEEFF" w:val="clear"/>
            <w:vAlign w:val="center"/>
          </w:tcPr>
          <w:p>
            <w:pPr>
              <w:pStyle w:val="TableContents"/>
              <w:bidi w:val="0"/>
              <w:spacing w:before="0" w:after="283"/>
              <w:jc w:val="left"/>
              <w:rPr/>
            </w:pPr>
            <w:r>
              <w:rPr/>
              <w:t>)</w:t>
            </w:r>
          </w:p>
        </w:tc>
        <w:tc>
          <w:tcPr>
            <w:tcW w:w="62"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w:t>
            </w:r>
          </w:p>
        </w:tc>
        <w:tc>
          <w:tcPr>
            <w:tcW w:w="786" w:type="dxa"/>
            <w:tcBorders/>
            <w:shd w:fill="CCEEFF" w:val="clear"/>
            <w:vAlign w:val="center"/>
          </w:tcPr>
          <w:p>
            <w:pPr>
              <w:pStyle w:val="TableContents"/>
              <w:bidi w:val="0"/>
              <w:spacing w:before="0" w:after="283"/>
              <w:jc w:val="right"/>
              <w:rPr/>
            </w:pPr>
            <w:r>
              <w:rPr/>
              <w:t>(17,009</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635" w:type="dxa"/>
            <w:tcBorders/>
            <w:shd w:fill="CCEEFF" w:val="clear"/>
            <w:vAlign w:val="center"/>
          </w:tcPr>
          <w:p>
            <w:pPr>
              <w:pStyle w:val="TableContents"/>
              <w:bidi w:val="0"/>
              <w:spacing w:before="0" w:after="283"/>
              <w:jc w:val="right"/>
              <w:rPr/>
            </w:pPr>
            <w:r>
              <w:rPr/>
              <w:t>7,220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42.4</w:t>
            </w:r>
          </w:p>
        </w:tc>
        <w:tc>
          <w:tcPr>
            <w:tcW w:w="230"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758" w:type="dxa"/>
            <w:tcBorders/>
            <w:shd w:fill="CCEEFF" w:val="clear"/>
            <w:vAlign w:val="center"/>
          </w:tcPr>
          <w:p>
            <w:pPr>
              <w:pStyle w:val="TableContents"/>
              <w:bidi w:val="0"/>
              <w:spacing w:before="0" w:after="283"/>
              <w:jc w:val="right"/>
              <w:rPr/>
            </w:pPr>
            <w:r>
              <w:rPr/>
              <w:t>(12,281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758" w:type="dxa"/>
            <w:tcBorders/>
            <w:shd w:fill="CCEEFF" w:val="clear"/>
            <w:vAlign w:val="center"/>
          </w:tcPr>
          <w:p>
            <w:pPr>
              <w:pStyle w:val="TableContents"/>
              <w:bidi w:val="0"/>
              <w:spacing w:before="0" w:after="283"/>
              <w:jc w:val="right"/>
              <w:rPr/>
            </w:pPr>
            <w:r>
              <w:rPr/>
              <w:t>(36,594</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680" w:type="dxa"/>
            <w:tcBorders/>
            <w:shd w:fill="CCEEFF" w:val="clear"/>
            <w:vAlign w:val="center"/>
          </w:tcPr>
          <w:p>
            <w:pPr>
              <w:pStyle w:val="TableContents"/>
              <w:bidi w:val="0"/>
              <w:spacing w:before="0" w:after="283"/>
              <w:jc w:val="right"/>
              <w:rPr/>
            </w:pPr>
            <w:r>
              <w:rPr/>
              <w:t>24,313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66.4</w:t>
            </w:r>
          </w:p>
        </w:tc>
        <w:tc>
          <w:tcPr>
            <w:tcW w:w="252" w:type="dxa"/>
            <w:tcBorders/>
            <w:shd w:fill="CCEEFF" w:val="clear"/>
            <w:vAlign w:val="center"/>
          </w:tcPr>
          <w:p>
            <w:pPr>
              <w:pStyle w:val="TableContents"/>
              <w:bidi w:val="0"/>
              <w:spacing w:before="0" w:after="283"/>
              <w:jc w:val="left"/>
              <w:rPr/>
            </w:pPr>
            <w:r>
              <w:rPr/>
              <w:t>%</w:t>
            </w:r>
          </w:p>
        </w:tc>
      </w:tr>
      <w:tr>
        <w:trPr/>
        <w:tc>
          <w:tcPr>
            <w:tcW w:w="2150" w:type="dxa"/>
            <w:tcBorders/>
            <w:shd w:fill="FFFFFF" w:val="clear"/>
            <w:vAlign w:val="center"/>
          </w:tcPr>
          <w:p>
            <w:pPr>
              <w:pStyle w:val="TableContents"/>
              <w:bidi w:val="0"/>
              <w:spacing w:before="0" w:after="283"/>
              <w:jc w:val="left"/>
              <w:rPr/>
            </w:pPr>
            <w:r>
              <w:rPr/>
              <w:t>Depreciation and amortization</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661" w:type="dxa"/>
            <w:tcBorders/>
            <w:shd w:fill="FFFFFF" w:val="clear"/>
            <w:vAlign w:val="center"/>
          </w:tcPr>
          <w:p>
            <w:pPr>
              <w:pStyle w:val="TableContents"/>
              <w:bidi w:val="0"/>
              <w:spacing w:before="0" w:after="283"/>
              <w:jc w:val="right"/>
              <w:rPr/>
            </w:pPr>
            <w:r>
              <w:rPr/>
              <w:t>1,838</w:t>
            </w:r>
          </w:p>
        </w:tc>
        <w:tc>
          <w:tcPr>
            <w:tcW w:w="98"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786" w:type="dxa"/>
            <w:tcBorders/>
            <w:shd w:fill="FFFFFF" w:val="clear"/>
            <w:vAlign w:val="center"/>
          </w:tcPr>
          <w:p>
            <w:pPr>
              <w:pStyle w:val="TableContents"/>
              <w:bidi w:val="0"/>
              <w:spacing w:before="0" w:after="283"/>
              <w:jc w:val="right"/>
              <w:rPr/>
            </w:pPr>
            <w:r>
              <w:rPr/>
              <w:t>1,805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pPr>
            <w:r>
              <w:rPr/>
              <w:t>33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pPr>
            <w:r>
              <w:rPr/>
              <w:t>1.8</w:t>
            </w:r>
          </w:p>
        </w:tc>
        <w:tc>
          <w:tcPr>
            <w:tcW w:w="230"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758" w:type="dxa"/>
            <w:tcBorders/>
            <w:shd w:fill="FFFFFF" w:val="clear"/>
            <w:vAlign w:val="center"/>
          </w:tcPr>
          <w:p>
            <w:pPr>
              <w:pStyle w:val="TableContents"/>
              <w:bidi w:val="0"/>
              <w:spacing w:before="0" w:after="283"/>
              <w:jc w:val="right"/>
              <w:rPr/>
            </w:pPr>
            <w:r>
              <w:rPr/>
              <w:t>3,454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758" w:type="dxa"/>
            <w:tcBorders/>
            <w:shd w:fill="FFFFFF" w:val="clear"/>
            <w:vAlign w:val="center"/>
          </w:tcPr>
          <w:p>
            <w:pPr>
              <w:pStyle w:val="TableContents"/>
              <w:bidi w:val="0"/>
              <w:spacing w:before="0" w:after="283"/>
              <w:jc w:val="right"/>
              <w:rPr/>
            </w:pPr>
            <w:r>
              <w:rPr/>
              <w:t>3,589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(135</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pPr>
            <w:r>
              <w:rPr/>
              <w:t>(3.8</w:t>
            </w:r>
          </w:p>
        </w:tc>
        <w:tc>
          <w:tcPr>
            <w:tcW w:w="252" w:type="dxa"/>
            <w:tcBorders/>
            <w:shd w:fill="FFFFFF" w:val="clear"/>
            <w:vAlign w:val="center"/>
          </w:tcPr>
          <w:p>
            <w:pPr>
              <w:pStyle w:val="TableContents"/>
              <w:bidi w:val="0"/>
              <w:spacing w:before="0" w:after="283"/>
              <w:jc w:val="left"/>
              <w:rPr/>
            </w:pPr>
            <w:r>
              <w:rPr/>
              <w:t>)%</w:t>
            </w:r>
          </w:p>
        </w:tc>
      </w:tr>
      <w:tr>
        <w:trPr/>
        <w:tc>
          <w:tcPr>
            <w:tcW w:w="2150" w:type="dxa"/>
            <w:tcBorders/>
            <w:shd w:fill="CCEEFF" w:val="clear"/>
            <w:vAlign w:val="center"/>
          </w:tcPr>
          <w:p>
            <w:pPr>
              <w:pStyle w:val="TableContents"/>
              <w:bidi w:val="0"/>
              <w:spacing w:before="0" w:after="283"/>
              <w:jc w:val="left"/>
              <w:rPr/>
            </w:pPr>
            <w:r>
              <w:rPr/>
              <w:t>Interest expense, net</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661" w:type="dxa"/>
            <w:tcBorders/>
            <w:shd w:fill="CCEEFF" w:val="clear"/>
            <w:vAlign w:val="center"/>
          </w:tcPr>
          <w:p>
            <w:pPr>
              <w:pStyle w:val="TableContents"/>
              <w:bidi w:val="0"/>
              <w:spacing w:before="0" w:after="283"/>
              <w:jc w:val="right"/>
              <w:rPr/>
            </w:pPr>
            <w:r>
              <w:rPr/>
              <w:t>1,859</w:t>
            </w:r>
          </w:p>
        </w:tc>
        <w:tc>
          <w:tcPr>
            <w:tcW w:w="98"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786" w:type="dxa"/>
            <w:tcBorders/>
            <w:shd w:fill="CCEEFF" w:val="clear"/>
            <w:vAlign w:val="center"/>
          </w:tcPr>
          <w:p>
            <w:pPr>
              <w:pStyle w:val="TableContents"/>
              <w:bidi w:val="0"/>
              <w:spacing w:before="0" w:after="283"/>
              <w:jc w:val="right"/>
              <w:rPr/>
            </w:pPr>
            <w:r>
              <w:rPr/>
              <w:t>1,870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(11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(0.6</w:t>
            </w:r>
          </w:p>
        </w:tc>
        <w:tc>
          <w:tcPr>
            <w:tcW w:w="230"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758" w:type="dxa"/>
            <w:tcBorders/>
            <w:shd w:fill="CCEEFF" w:val="clear"/>
            <w:vAlign w:val="center"/>
          </w:tcPr>
          <w:p>
            <w:pPr>
              <w:pStyle w:val="TableContents"/>
              <w:bidi w:val="0"/>
              <w:spacing w:before="0" w:after="283"/>
              <w:jc w:val="right"/>
              <w:rPr/>
            </w:pPr>
            <w:r>
              <w:rPr/>
              <w:t>3,793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758" w:type="dxa"/>
            <w:tcBorders/>
            <w:shd w:fill="CCEEFF" w:val="clear"/>
            <w:vAlign w:val="center"/>
          </w:tcPr>
          <w:p>
            <w:pPr>
              <w:pStyle w:val="TableContents"/>
              <w:bidi w:val="0"/>
              <w:spacing w:before="0" w:after="283"/>
              <w:jc w:val="right"/>
              <w:rPr/>
            </w:pPr>
            <w:r>
              <w:rPr/>
              <w:t>7,440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(3,647</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(49.0</w:t>
            </w:r>
          </w:p>
        </w:tc>
        <w:tc>
          <w:tcPr>
            <w:tcW w:w="252" w:type="dxa"/>
            <w:tcBorders/>
            <w:shd w:fill="CCEEFF" w:val="clear"/>
            <w:vAlign w:val="center"/>
          </w:tcPr>
          <w:p>
            <w:pPr>
              <w:pStyle w:val="TableContents"/>
              <w:bidi w:val="0"/>
              <w:spacing w:before="0" w:after="283"/>
              <w:jc w:val="left"/>
              <w:rPr/>
            </w:pPr>
            <w:r>
              <w:rPr/>
              <w:t>)%</w:t>
            </w:r>
          </w:p>
        </w:tc>
      </w:tr>
      <w:tr>
        <w:trPr/>
        <w:tc>
          <w:tcPr>
            <w:tcW w:w="2150" w:type="dxa"/>
            <w:tcBorders/>
            <w:shd w:fill="FFFFFF" w:val="clear"/>
            <w:vAlign w:val="center"/>
          </w:tcPr>
          <w:p>
            <w:pPr>
              <w:pStyle w:val="TableContents"/>
              <w:bidi w:val="0"/>
              <w:spacing w:before="0" w:after="283"/>
              <w:jc w:val="left"/>
              <w:rPr/>
            </w:pPr>
            <w:r>
              <w:rPr/>
              <w:t>Income tax and other taxes</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661" w:type="dxa"/>
            <w:tcBorders/>
            <w:shd w:fill="FFFFFF" w:val="clear"/>
            <w:vAlign w:val="center"/>
          </w:tcPr>
          <w:p>
            <w:pPr>
              <w:pStyle w:val="TableContents"/>
              <w:bidi w:val="0"/>
              <w:spacing w:before="0" w:after="283"/>
              <w:jc w:val="right"/>
              <w:rPr/>
            </w:pPr>
            <w:r>
              <w:rPr/>
              <w:t>86</w:t>
            </w:r>
          </w:p>
        </w:tc>
        <w:tc>
          <w:tcPr>
            <w:tcW w:w="98"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786" w:type="dxa"/>
            <w:tcBorders/>
            <w:shd w:fill="FFFFFF" w:val="clear"/>
            <w:vAlign w:val="center"/>
          </w:tcPr>
          <w:p>
            <w:pPr>
              <w:pStyle w:val="TableContents"/>
              <w:bidi w:val="0"/>
              <w:spacing w:before="0" w:after="283"/>
              <w:jc w:val="right"/>
              <w:rPr/>
            </w:pPr>
            <w:r>
              <w:rPr/>
              <w:t>(61</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pPr>
            <w:r>
              <w:rPr/>
              <w:t>147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pPr>
            <w:r>
              <w:rPr/>
              <w:t>—</w:t>
            </w:r>
          </w:p>
        </w:tc>
        <w:tc>
          <w:tcPr>
            <w:tcW w:w="230"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758" w:type="dxa"/>
            <w:tcBorders/>
            <w:shd w:fill="FFFFFF" w:val="clear"/>
            <w:vAlign w:val="center"/>
          </w:tcPr>
          <w:p>
            <w:pPr>
              <w:pStyle w:val="TableContents"/>
              <w:bidi w:val="0"/>
              <w:spacing w:before="0" w:after="283"/>
              <w:jc w:val="right"/>
              <w:rPr/>
            </w:pPr>
            <w:r>
              <w:rPr/>
              <w:t>129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758" w:type="dxa"/>
            <w:tcBorders/>
            <w:shd w:fill="FFFFFF" w:val="clear"/>
            <w:vAlign w:val="center"/>
          </w:tcPr>
          <w:p>
            <w:pPr>
              <w:pStyle w:val="TableContents"/>
              <w:bidi w:val="0"/>
              <w:spacing w:before="0" w:after="283"/>
              <w:jc w:val="right"/>
              <w:rPr/>
            </w:pPr>
            <w:r>
              <w:rPr/>
              <w:t>(61</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190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pPr>
            <w:r>
              <w:rPr/>
              <w:t>—</w:t>
            </w:r>
          </w:p>
        </w:tc>
        <w:tc>
          <w:tcPr>
            <w:tcW w:w="252" w:type="dxa"/>
            <w:tcBorders/>
            <w:shd w:fill="FFFFFF" w:val="clear"/>
            <w:vAlign w:val="center"/>
          </w:tcPr>
          <w:p>
            <w:pPr>
              <w:pStyle w:val="TableContents"/>
              <w:bidi w:val="0"/>
              <w:spacing w:before="0" w:after="283"/>
              <w:jc w:val="left"/>
              <w:rPr/>
            </w:pPr>
            <w:r>
              <w:rPr/>
              <w:t>%</w:t>
            </w:r>
          </w:p>
        </w:tc>
      </w:tr>
      <w:tr>
        <w:trPr/>
        <w:tc>
          <w:tcPr>
            <w:tcW w:w="2150" w:type="dxa"/>
            <w:tcBorders/>
            <w:shd w:fill="CCEEFF" w:val="clear"/>
            <w:vAlign w:val="center"/>
          </w:tcPr>
          <w:p>
            <w:pPr>
              <w:pStyle w:val="TableContents"/>
              <w:bidi w:val="0"/>
              <w:spacing w:before="0" w:after="283"/>
              <w:jc w:val="left"/>
              <w:rPr/>
            </w:pPr>
            <w:r>
              <w:rPr/>
              <w:t>Non-cash addbacks</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661" w:type="dxa"/>
            <w:tcBorders/>
            <w:shd w:fill="CCEEFF" w:val="clear"/>
            <w:vAlign w:val="center"/>
          </w:tcPr>
          <w:p>
            <w:pPr>
              <w:pStyle w:val="TableContents"/>
              <w:bidi w:val="0"/>
              <w:spacing w:before="0" w:after="283"/>
              <w:jc w:val="right"/>
              <w:rPr/>
            </w:pPr>
            <w:r>
              <w:rPr/>
              <w:t>(36</w:t>
            </w:r>
          </w:p>
        </w:tc>
        <w:tc>
          <w:tcPr>
            <w:tcW w:w="98" w:type="dxa"/>
            <w:tcBorders/>
            <w:shd w:fill="CCEEFF" w:val="clear"/>
            <w:vAlign w:val="center"/>
          </w:tcPr>
          <w:p>
            <w:pPr>
              <w:pStyle w:val="TableContents"/>
              <w:bidi w:val="0"/>
              <w:spacing w:before="0" w:after="283"/>
              <w:jc w:val="left"/>
              <w:rPr/>
            </w:pPr>
            <w:r>
              <w:rPr/>
              <w:t>)</w:t>
            </w:r>
          </w:p>
        </w:tc>
        <w:tc>
          <w:tcPr>
            <w:tcW w:w="62"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786" w:type="dxa"/>
            <w:tcBorders/>
            <w:shd w:fill="CCEEFF" w:val="clear"/>
            <w:vAlign w:val="center"/>
          </w:tcPr>
          <w:p>
            <w:pPr>
              <w:pStyle w:val="TableContents"/>
              <w:bidi w:val="0"/>
              <w:spacing w:before="0" w:after="283"/>
              <w:jc w:val="right"/>
              <w:rPr/>
            </w:pPr>
            <w:r>
              <w:rPr/>
              <w:t>2,222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(2,258</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(101.6</w:t>
            </w:r>
          </w:p>
        </w:tc>
        <w:tc>
          <w:tcPr>
            <w:tcW w:w="230"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758" w:type="dxa"/>
            <w:tcBorders/>
            <w:shd w:fill="CCEEFF" w:val="clear"/>
            <w:vAlign w:val="center"/>
          </w:tcPr>
          <w:p>
            <w:pPr>
              <w:pStyle w:val="TableContents"/>
              <w:bidi w:val="0"/>
              <w:spacing w:before="0" w:after="283"/>
              <w:jc w:val="right"/>
              <w:rPr/>
            </w:pPr>
            <w:r>
              <w:rPr/>
              <w:t>(284</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758" w:type="dxa"/>
            <w:tcBorders/>
            <w:shd w:fill="CCEEFF" w:val="clear"/>
            <w:vAlign w:val="center"/>
          </w:tcPr>
          <w:p>
            <w:pPr>
              <w:pStyle w:val="TableContents"/>
              <w:bidi w:val="0"/>
              <w:spacing w:before="0" w:after="283"/>
              <w:jc w:val="right"/>
              <w:rPr/>
            </w:pPr>
            <w:r>
              <w:rPr/>
              <w:t>2,059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(2,343</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(113.8</w:t>
            </w:r>
          </w:p>
        </w:tc>
        <w:tc>
          <w:tcPr>
            <w:tcW w:w="252" w:type="dxa"/>
            <w:tcBorders/>
            <w:shd w:fill="CCEEFF" w:val="clear"/>
            <w:vAlign w:val="center"/>
          </w:tcPr>
          <w:p>
            <w:pPr>
              <w:pStyle w:val="TableContents"/>
              <w:bidi w:val="0"/>
              <w:spacing w:before="0" w:after="283"/>
              <w:jc w:val="left"/>
              <w:rPr/>
            </w:pPr>
            <w:r>
              <w:rPr/>
              <w:t>)%</w:t>
            </w:r>
          </w:p>
        </w:tc>
      </w:tr>
      <w:tr>
        <w:trPr/>
        <w:tc>
          <w:tcPr>
            <w:tcW w:w="2150" w:type="dxa"/>
            <w:tcBorders/>
            <w:shd w:fill="FFFFFF" w:val="clear"/>
            <w:vAlign w:val="center"/>
          </w:tcPr>
          <w:p>
            <w:pPr>
              <w:pStyle w:val="TableContents"/>
              <w:bidi w:val="0"/>
              <w:spacing w:before="0" w:after="283"/>
              <w:jc w:val="left"/>
              <w:rPr/>
            </w:pPr>
            <w:r>
              <w:rPr/>
              <w:t>Share-based compensation</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661" w:type="dxa"/>
            <w:tcBorders/>
            <w:shd w:fill="FFFFFF" w:val="clear"/>
            <w:vAlign w:val="center"/>
          </w:tcPr>
          <w:p>
            <w:pPr>
              <w:pStyle w:val="TableContents"/>
              <w:bidi w:val="0"/>
              <w:spacing w:before="0" w:after="283"/>
              <w:jc w:val="right"/>
              <w:rPr/>
            </w:pPr>
            <w:r>
              <w:rPr/>
              <w:t>1,070</w:t>
            </w:r>
          </w:p>
        </w:tc>
        <w:tc>
          <w:tcPr>
            <w:tcW w:w="98"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786" w:type="dxa"/>
            <w:tcBorders/>
            <w:shd w:fill="FFFFFF" w:val="clear"/>
            <w:vAlign w:val="center"/>
          </w:tcPr>
          <w:p>
            <w:pPr>
              <w:pStyle w:val="TableContents"/>
              <w:bidi w:val="0"/>
              <w:spacing w:before="0" w:after="283"/>
              <w:jc w:val="right"/>
              <w:rPr/>
            </w:pPr>
            <w:r>
              <w:rPr/>
              <w:t>752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pPr>
            <w:r>
              <w:rPr/>
              <w:t>318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pPr>
            <w:r>
              <w:rPr/>
              <w:t>42.3</w:t>
            </w:r>
          </w:p>
        </w:tc>
        <w:tc>
          <w:tcPr>
            <w:tcW w:w="230"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758" w:type="dxa"/>
            <w:tcBorders/>
            <w:shd w:fill="FFFFFF" w:val="clear"/>
            <w:vAlign w:val="center"/>
          </w:tcPr>
          <w:p>
            <w:pPr>
              <w:pStyle w:val="TableContents"/>
              <w:bidi w:val="0"/>
              <w:spacing w:before="0" w:after="283"/>
              <w:jc w:val="right"/>
              <w:rPr/>
            </w:pPr>
            <w:r>
              <w:rPr/>
              <w:t>2,756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758" w:type="dxa"/>
            <w:tcBorders/>
            <w:shd w:fill="FFFFFF" w:val="clear"/>
            <w:vAlign w:val="center"/>
          </w:tcPr>
          <w:p>
            <w:pPr>
              <w:pStyle w:val="TableContents"/>
              <w:bidi w:val="0"/>
              <w:spacing w:before="0" w:after="283"/>
              <w:jc w:val="right"/>
              <w:rPr/>
            </w:pPr>
            <w:r>
              <w:rPr/>
              <w:t>2,210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546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pPr>
            <w:r>
              <w:rPr/>
              <w:t>24.7</w:t>
            </w:r>
          </w:p>
        </w:tc>
        <w:tc>
          <w:tcPr>
            <w:tcW w:w="252" w:type="dxa"/>
            <w:tcBorders/>
            <w:shd w:fill="FFFFFF" w:val="clear"/>
            <w:vAlign w:val="center"/>
          </w:tcPr>
          <w:p>
            <w:pPr>
              <w:pStyle w:val="TableContents"/>
              <w:bidi w:val="0"/>
              <w:spacing w:before="0" w:after="283"/>
              <w:jc w:val="left"/>
              <w:rPr/>
            </w:pPr>
            <w:r>
              <w:rPr/>
              <w:t>%</w:t>
            </w:r>
          </w:p>
        </w:tc>
      </w:tr>
      <w:tr>
        <w:trPr/>
        <w:tc>
          <w:tcPr>
            <w:tcW w:w="2150" w:type="dxa"/>
            <w:tcBorders/>
            <w:shd w:fill="CCEEFF" w:val="clear"/>
            <w:vAlign w:val="center"/>
          </w:tcPr>
          <w:p>
            <w:pPr>
              <w:pStyle w:val="TableContents"/>
              <w:bidi w:val="0"/>
              <w:spacing w:before="0" w:after="283"/>
              <w:jc w:val="left"/>
              <w:rPr/>
            </w:pPr>
            <w:r>
              <w:rPr/>
              <w:t>Changes in fair value of liabilities</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661" w:type="dxa"/>
            <w:tcBorders/>
            <w:shd w:fill="CCEEFF" w:val="clear"/>
            <w:vAlign w:val="center"/>
          </w:tcPr>
          <w:p>
            <w:pPr>
              <w:pStyle w:val="TableContents"/>
              <w:bidi w:val="0"/>
              <w:spacing w:before="0" w:after="283"/>
              <w:jc w:val="right"/>
              <w:rPr/>
            </w:pPr>
            <w:r>
              <w:rPr/>
              <w:t>3,237</w:t>
            </w:r>
          </w:p>
        </w:tc>
        <w:tc>
          <w:tcPr>
            <w:tcW w:w="98"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786" w:type="dxa"/>
            <w:tcBorders/>
            <w:shd w:fill="CCEEFF" w:val="clear"/>
            <w:vAlign w:val="center"/>
          </w:tcPr>
          <w:p>
            <w:pPr>
              <w:pStyle w:val="TableContents"/>
              <w:bidi w:val="0"/>
              <w:spacing w:before="0" w:after="283"/>
              <w:jc w:val="right"/>
              <w:rPr/>
            </w:pPr>
            <w:r>
              <w:rPr/>
              <w:t>4,040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(803</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(19.9</w:t>
            </w:r>
          </w:p>
        </w:tc>
        <w:tc>
          <w:tcPr>
            <w:tcW w:w="230"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8" w:type="dxa"/>
            <w:tcBorders/>
            <w:shd w:fill="CCEEFF" w:val="clear"/>
            <w:vAlign w:val="center"/>
          </w:tcPr>
          <w:p>
            <w:pPr>
              <w:pStyle w:val="TableContents"/>
              <w:bidi w:val="0"/>
              <w:spacing w:before="0" w:after="283"/>
              <w:jc w:val="right"/>
              <w:rPr/>
            </w:pPr>
            <w:r>
              <w:rPr/>
              <w:t>(1,927</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8" w:type="dxa"/>
            <w:tcBorders/>
            <w:shd w:fill="CCEEFF" w:val="clear"/>
            <w:vAlign w:val="center"/>
          </w:tcPr>
          <w:p>
            <w:pPr>
              <w:pStyle w:val="TableContents"/>
              <w:bidi w:val="0"/>
              <w:spacing w:before="0" w:after="283"/>
              <w:jc w:val="right"/>
              <w:rPr/>
            </w:pPr>
            <w:r>
              <w:rPr/>
              <w:t>7,392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(9,319</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(126.1</w:t>
            </w:r>
          </w:p>
        </w:tc>
        <w:tc>
          <w:tcPr>
            <w:tcW w:w="252" w:type="dxa"/>
            <w:tcBorders/>
            <w:shd w:fill="CCEEFF" w:val="clear"/>
            <w:vAlign w:val="center"/>
          </w:tcPr>
          <w:p>
            <w:pPr>
              <w:pStyle w:val="TableContents"/>
              <w:bidi w:val="0"/>
              <w:spacing w:before="0" w:after="283"/>
              <w:jc w:val="left"/>
              <w:rPr/>
            </w:pPr>
            <w:r>
              <w:rPr/>
              <w:t>)%</w:t>
            </w:r>
          </w:p>
        </w:tc>
      </w:tr>
      <w:tr>
        <w:trPr/>
        <w:tc>
          <w:tcPr>
            <w:tcW w:w="2150" w:type="dxa"/>
            <w:tcBorders/>
            <w:shd w:fill="FFFFFF" w:val="clear"/>
            <w:vAlign w:val="center"/>
          </w:tcPr>
          <w:p>
            <w:pPr>
              <w:pStyle w:val="TableContents"/>
              <w:bidi w:val="0"/>
              <w:spacing w:before="0" w:after="283"/>
              <w:jc w:val="left"/>
              <w:rPr/>
            </w:pPr>
            <w:r>
              <w:rPr/>
              <w:t>Unrealized loss on investments</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661" w:type="dxa"/>
            <w:tcBorders/>
            <w:shd w:fill="FFFFFF" w:val="clear"/>
            <w:vAlign w:val="center"/>
          </w:tcPr>
          <w:p>
            <w:pPr>
              <w:pStyle w:val="TableContents"/>
              <w:bidi w:val="0"/>
              <w:spacing w:before="0" w:after="283"/>
              <w:jc w:val="right"/>
              <w:rPr/>
            </w:pPr>
            <w:r>
              <w:rPr/>
              <w:t>—</w:t>
            </w:r>
          </w:p>
        </w:tc>
        <w:tc>
          <w:tcPr>
            <w:tcW w:w="98"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786"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pPr>
            <w:r>
              <w:rPr/>
              <w:t>—</w:t>
            </w:r>
          </w:p>
        </w:tc>
        <w:tc>
          <w:tcPr>
            <w:tcW w:w="230"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8"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8" w:type="dxa"/>
            <w:tcBorders/>
            <w:shd w:fill="FFFFFF" w:val="clear"/>
            <w:vAlign w:val="center"/>
          </w:tcPr>
          <w:p>
            <w:pPr>
              <w:pStyle w:val="TableContents"/>
              <w:bidi w:val="0"/>
              <w:spacing w:before="0" w:after="283"/>
              <w:jc w:val="right"/>
              <w:rPr/>
            </w:pPr>
            <w:r>
              <w:rPr/>
              <w:t>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(6</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pPr>
            <w:r>
              <w:rPr/>
              <w:t>(100.0</w:t>
            </w:r>
          </w:p>
        </w:tc>
        <w:tc>
          <w:tcPr>
            <w:tcW w:w="252" w:type="dxa"/>
            <w:tcBorders/>
            <w:shd w:fill="FFFFFF" w:val="clear"/>
            <w:vAlign w:val="center"/>
          </w:tcPr>
          <w:p>
            <w:pPr>
              <w:pStyle w:val="TableContents"/>
              <w:bidi w:val="0"/>
              <w:spacing w:before="0" w:after="283"/>
              <w:jc w:val="left"/>
              <w:rPr/>
            </w:pPr>
            <w:r>
              <w:rPr/>
              <w:t>)%</w:t>
            </w:r>
          </w:p>
        </w:tc>
      </w:tr>
      <w:tr>
        <w:trPr/>
        <w:tc>
          <w:tcPr>
            <w:tcW w:w="2150" w:type="dxa"/>
            <w:tcBorders/>
            <w:shd w:fill="CCEEFF" w:val="clear"/>
            <w:vAlign w:val="center"/>
          </w:tcPr>
          <w:p>
            <w:pPr>
              <w:pStyle w:val="TableContents"/>
              <w:bidi w:val="0"/>
              <w:spacing w:before="0" w:after="283"/>
              <w:jc w:val="left"/>
              <w:rPr/>
            </w:pPr>
            <w:r>
              <w:rPr/>
              <w:t>Post-combination compensation expense</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661" w:type="dxa"/>
            <w:tcBorders/>
            <w:shd w:fill="CCEEFF" w:val="clear"/>
            <w:vAlign w:val="center"/>
          </w:tcPr>
          <w:p>
            <w:pPr>
              <w:pStyle w:val="TableContents"/>
              <w:bidi w:val="0"/>
              <w:spacing w:before="0" w:after="283"/>
              <w:jc w:val="right"/>
              <w:rPr/>
            </w:pPr>
            <w:r>
              <w:rPr/>
              <w:t>—</w:t>
            </w:r>
          </w:p>
        </w:tc>
        <w:tc>
          <w:tcPr>
            <w:tcW w:w="98"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786" w:type="dxa"/>
            <w:tcBorders/>
            <w:shd w:fill="CCEEFF" w:val="clear"/>
            <w:vAlign w:val="center"/>
          </w:tcPr>
          <w:p>
            <w:pPr>
              <w:pStyle w:val="TableContents"/>
              <w:bidi w:val="0"/>
              <w:spacing w:before="0" w:after="283"/>
              <w:jc w:val="right"/>
              <w:rPr/>
            </w:pPr>
            <w:r>
              <w:rPr/>
              <w:t>13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(13</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(100.0</w:t>
            </w:r>
          </w:p>
        </w:tc>
        <w:tc>
          <w:tcPr>
            <w:tcW w:w="230"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8"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8" w:type="dxa"/>
            <w:tcBorders/>
            <w:shd w:fill="CCEEFF" w:val="clear"/>
            <w:vAlign w:val="center"/>
          </w:tcPr>
          <w:p>
            <w:pPr>
              <w:pStyle w:val="TableContents"/>
              <w:bidi w:val="0"/>
              <w:spacing w:before="0" w:after="283"/>
              <w:jc w:val="right"/>
              <w:rPr/>
            </w:pPr>
            <w:r>
              <w:rPr/>
              <w:t>26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(26</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(100.0</w:t>
            </w:r>
          </w:p>
        </w:tc>
        <w:tc>
          <w:tcPr>
            <w:tcW w:w="252" w:type="dxa"/>
            <w:tcBorders/>
            <w:shd w:fill="CCEEFF" w:val="clear"/>
            <w:vAlign w:val="center"/>
          </w:tcPr>
          <w:p>
            <w:pPr>
              <w:pStyle w:val="TableContents"/>
              <w:bidi w:val="0"/>
              <w:spacing w:before="0" w:after="283"/>
              <w:jc w:val="left"/>
              <w:rPr/>
            </w:pPr>
            <w:r>
              <w:rPr/>
              <w:t>)%</w:t>
            </w:r>
          </w:p>
        </w:tc>
      </w:tr>
      <w:tr>
        <w:trPr/>
        <w:tc>
          <w:tcPr>
            <w:tcW w:w="2150" w:type="dxa"/>
            <w:tcBorders/>
            <w:shd w:fill="FFFFFF" w:val="clear"/>
            <w:vAlign w:val="center"/>
          </w:tcPr>
          <w:p>
            <w:pPr>
              <w:pStyle w:val="TableContents"/>
              <w:bidi w:val="0"/>
              <w:spacing w:before="0" w:after="283"/>
              <w:jc w:val="left"/>
              <w:rPr/>
            </w:pPr>
            <w:r>
              <w:rPr/>
              <w:t>Consulting fees</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661" w:type="dxa"/>
            <w:tcBorders/>
            <w:shd w:fill="FFFFFF" w:val="clear"/>
            <w:vAlign w:val="center"/>
          </w:tcPr>
          <w:p>
            <w:pPr>
              <w:pStyle w:val="TableContents"/>
              <w:bidi w:val="0"/>
              <w:spacing w:before="0" w:after="283"/>
              <w:jc w:val="right"/>
              <w:rPr/>
            </w:pPr>
            <w:r>
              <w:rPr/>
              <w:t>1,814</w:t>
            </w:r>
          </w:p>
        </w:tc>
        <w:tc>
          <w:tcPr>
            <w:tcW w:w="98"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786" w:type="dxa"/>
            <w:tcBorders/>
            <w:shd w:fill="FFFFFF" w:val="clear"/>
            <w:vAlign w:val="center"/>
          </w:tcPr>
          <w:p>
            <w:pPr>
              <w:pStyle w:val="TableContents"/>
              <w:bidi w:val="0"/>
              <w:spacing w:before="0" w:after="283"/>
              <w:jc w:val="right"/>
              <w:rPr/>
            </w:pPr>
            <w:r>
              <w:rPr/>
              <w:t>506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pPr>
            <w:r>
              <w:rPr/>
              <w:t>1,308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pPr>
            <w:r>
              <w:rPr/>
              <w:t>258.5</w:t>
            </w:r>
          </w:p>
        </w:tc>
        <w:tc>
          <w:tcPr>
            <w:tcW w:w="230"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8" w:type="dxa"/>
            <w:tcBorders/>
            <w:shd w:fill="FFFFFF" w:val="clear"/>
            <w:vAlign w:val="center"/>
          </w:tcPr>
          <w:p>
            <w:pPr>
              <w:pStyle w:val="TableContents"/>
              <w:bidi w:val="0"/>
              <w:spacing w:before="0" w:after="283"/>
              <w:jc w:val="right"/>
              <w:rPr/>
            </w:pPr>
            <w:r>
              <w:rPr/>
              <w:t>2,087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8" w:type="dxa"/>
            <w:tcBorders/>
            <w:shd w:fill="FFFFFF" w:val="clear"/>
            <w:vAlign w:val="center"/>
          </w:tcPr>
          <w:p>
            <w:pPr>
              <w:pStyle w:val="TableContents"/>
              <w:bidi w:val="0"/>
              <w:spacing w:before="0" w:after="283"/>
              <w:jc w:val="right"/>
              <w:rPr/>
            </w:pPr>
            <w:r>
              <w:rPr/>
              <w:t>839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1,248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pPr>
            <w:r>
              <w:rPr/>
              <w:t>148.7</w:t>
            </w:r>
          </w:p>
        </w:tc>
        <w:tc>
          <w:tcPr>
            <w:tcW w:w="252" w:type="dxa"/>
            <w:tcBorders/>
            <w:shd w:fill="FFFFFF" w:val="clear"/>
            <w:vAlign w:val="center"/>
          </w:tcPr>
          <w:p>
            <w:pPr>
              <w:pStyle w:val="TableContents"/>
              <w:bidi w:val="0"/>
              <w:spacing w:before="0" w:after="283"/>
              <w:jc w:val="left"/>
              <w:rPr/>
            </w:pPr>
            <w:r>
              <w:rPr/>
              <w:t>%</w:t>
            </w:r>
          </w:p>
        </w:tc>
      </w:tr>
      <w:tr>
        <w:trPr/>
        <w:tc>
          <w:tcPr>
            <w:tcW w:w="2150" w:type="dxa"/>
            <w:tcBorders/>
            <w:shd w:fill="CCEEFF" w:val="clear"/>
            <w:vAlign w:val="center"/>
          </w:tcPr>
          <w:p>
            <w:pPr>
              <w:pStyle w:val="TableContents"/>
              <w:bidi w:val="0"/>
              <w:spacing w:before="0" w:after="283"/>
              <w:jc w:val="left"/>
              <w:rPr/>
            </w:pPr>
            <w:r>
              <w:rPr/>
              <w:t>Infrastructure and workforce costs</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661" w:type="dxa"/>
            <w:tcBorders/>
            <w:shd w:fill="CCEEFF" w:val="clear"/>
            <w:vAlign w:val="center"/>
          </w:tcPr>
          <w:p>
            <w:pPr>
              <w:pStyle w:val="TableContents"/>
              <w:bidi w:val="0"/>
              <w:spacing w:before="0" w:after="283"/>
              <w:jc w:val="right"/>
              <w:rPr/>
            </w:pPr>
            <w:r>
              <w:rPr/>
              <w:t>150</w:t>
            </w:r>
          </w:p>
        </w:tc>
        <w:tc>
          <w:tcPr>
            <w:tcW w:w="98"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786" w:type="dxa"/>
            <w:tcBorders/>
            <w:shd w:fill="CCEEFF" w:val="clear"/>
            <w:vAlign w:val="center"/>
          </w:tcPr>
          <w:p>
            <w:pPr>
              <w:pStyle w:val="TableContents"/>
              <w:bidi w:val="0"/>
              <w:spacing w:before="0" w:after="283"/>
              <w:jc w:val="right"/>
              <w:rPr/>
            </w:pPr>
            <w:r>
              <w:rPr/>
              <w:t>1,771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(1,621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(91.5</w:t>
            </w:r>
          </w:p>
        </w:tc>
        <w:tc>
          <w:tcPr>
            <w:tcW w:w="230"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8" w:type="dxa"/>
            <w:tcBorders/>
            <w:shd w:fill="CCEEFF" w:val="clear"/>
            <w:vAlign w:val="center"/>
          </w:tcPr>
          <w:p>
            <w:pPr>
              <w:pStyle w:val="TableContents"/>
              <w:bidi w:val="0"/>
              <w:spacing w:before="0" w:after="283"/>
              <w:jc w:val="right"/>
              <w:rPr/>
            </w:pPr>
            <w:r>
              <w:rPr/>
              <w:t>64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8" w:type="dxa"/>
            <w:tcBorders/>
            <w:shd w:fill="CCEEFF" w:val="clear"/>
            <w:vAlign w:val="center"/>
          </w:tcPr>
          <w:p>
            <w:pPr>
              <w:pStyle w:val="TableContents"/>
              <w:bidi w:val="0"/>
              <w:spacing w:before="0" w:after="283"/>
              <w:jc w:val="right"/>
              <w:rPr/>
            </w:pPr>
            <w:r>
              <w:rPr/>
              <w:t>3,895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(3,831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(98.4</w:t>
            </w:r>
          </w:p>
        </w:tc>
        <w:tc>
          <w:tcPr>
            <w:tcW w:w="252" w:type="dxa"/>
            <w:tcBorders/>
            <w:shd w:fill="CCEEFF" w:val="clear"/>
            <w:vAlign w:val="center"/>
          </w:tcPr>
          <w:p>
            <w:pPr>
              <w:pStyle w:val="TableContents"/>
              <w:bidi w:val="0"/>
              <w:spacing w:before="0" w:after="283"/>
              <w:jc w:val="left"/>
              <w:rPr/>
            </w:pPr>
            <w:r>
              <w:rPr/>
              <w:t>)%</w:t>
            </w:r>
          </w:p>
        </w:tc>
      </w:tr>
      <w:tr>
        <w:trPr/>
        <w:tc>
          <w:tcPr>
            <w:tcW w:w="2150" w:type="dxa"/>
            <w:tcBorders/>
            <w:shd w:fill="FFFFFF" w:val="clear"/>
            <w:vAlign w:val="center"/>
          </w:tcPr>
          <w:p>
            <w:pPr>
              <w:pStyle w:val="TableContents"/>
              <w:bidi w:val="0"/>
              <w:spacing w:before="0" w:after="283"/>
              <w:jc w:val="left"/>
              <w:rPr/>
            </w:pPr>
            <w:r>
              <w:rPr/>
              <w:t>Transaction costs</w:t>
            </w:r>
          </w:p>
        </w:tc>
        <w:tc>
          <w:tcPr>
            <w:tcW w:w="60" w:type="dxa"/>
            <w:tcBorders/>
            <w:shd w:fill="FFFFFF" w:val="clear"/>
            <w:vAlign w:val="center"/>
          </w:tcPr>
          <w:p>
            <w:pPr>
              <w:pStyle w:val="TableContents"/>
              <w:bidi w:val="0"/>
              <w:spacing w:before="0" w:after="283"/>
              <w:jc w:val="left"/>
              <w:rPr/>
            </w:pPr>
            <w:r>
              <w:rPr/>
              <w:t> </w:t>
            </w:r>
          </w:p>
        </w:tc>
        <w:tc>
          <w:tcPr>
            <w:tcW w:w="14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61"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8"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4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86" w:type="dxa"/>
            <w:tcBorders>
              <w:bottom w:val="single" w:sz="8" w:space="0" w:color="000000"/>
            </w:tcBorders>
            <w:shd w:fill="FFFFFF" w:val="clear"/>
            <w:tcMar>
              <w:bottom w:w="28" w:type="dxa"/>
            </w:tcMar>
            <w:vAlign w:val="center"/>
          </w:tcPr>
          <w:p>
            <w:pPr>
              <w:pStyle w:val="TableContents"/>
              <w:bidi w:val="0"/>
              <w:spacing w:before="0" w:after="283"/>
              <w:jc w:val="right"/>
              <w:rPr/>
            </w:pPr>
            <w:r>
              <w:rPr/>
              <w:t>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35" w:type="dxa"/>
            <w:tcBorders>
              <w:bottom w:val="single" w:sz="8" w:space="0" w:color="000000"/>
            </w:tcBorders>
            <w:shd w:fill="FFFFFF" w:val="clear"/>
            <w:tcMar>
              <w:bottom w:w="28" w:type="dxa"/>
            </w:tcMar>
            <w:vAlign w:val="center"/>
          </w:tcPr>
          <w:p>
            <w:pPr>
              <w:pStyle w:val="TableContents"/>
              <w:bidi w:val="0"/>
              <w:spacing w:before="0" w:after="283"/>
              <w:jc w:val="right"/>
              <w:rPr/>
            </w:pPr>
            <w:r>
              <w:rPr/>
              <w:t>(1</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35"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230"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58"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58" w:type="dxa"/>
            <w:tcBorders>
              <w:bottom w:val="single" w:sz="8" w:space="0" w:color="000000"/>
            </w:tcBorders>
            <w:shd w:fill="FFFFFF" w:val="clear"/>
            <w:tcMar>
              <w:bottom w:w="28" w:type="dxa"/>
            </w:tcMar>
            <w:vAlign w:val="center"/>
          </w:tcPr>
          <w:p>
            <w:pPr>
              <w:pStyle w:val="TableContents"/>
              <w:bidi w:val="0"/>
              <w:spacing w:before="0" w:after="283"/>
              <w:jc w:val="right"/>
              <w:rPr/>
            </w:pPr>
            <w:r>
              <w:rPr/>
              <w:t>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80" w:type="dxa"/>
            <w:tcBorders>
              <w:bottom w:val="single" w:sz="8" w:space="0" w:color="000000"/>
            </w:tcBorders>
            <w:shd w:fill="FFFFFF" w:val="clear"/>
            <w:tcMar>
              <w:bottom w:w="28" w:type="dxa"/>
            </w:tcMar>
            <w:vAlign w:val="center"/>
          </w:tcPr>
          <w:p>
            <w:pPr>
              <w:pStyle w:val="TableContents"/>
              <w:bidi w:val="0"/>
              <w:spacing w:before="0" w:after="283"/>
              <w:jc w:val="right"/>
              <w:rPr/>
            </w:pPr>
            <w:r>
              <w:rPr/>
              <w:t>(1</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35" w:type="dxa"/>
            <w:tcBorders>
              <w:bottom w:val="single" w:sz="8" w:space="0" w:color="000000"/>
            </w:tcBorders>
            <w:shd w:fill="FFFFFF" w:val="clear"/>
            <w:tcMar>
              <w:bottom w:w="28" w:type="dxa"/>
            </w:tcMar>
            <w:vAlign w:val="center"/>
          </w:tcPr>
          <w:p>
            <w:pPr>
              <w:pStyle w:val="TableContents"/>
              <w:bidi w:val="0"/>
              <w:spacing w:before="0" w:after="283"/>
              <w:jc w:val="right"/>
              <w:rPr/>
            </w:pPr>
            <w:r>
              <w:rPr/>
              <w:t>(100.0</w:t>
            </w:r>
          </w:p>
        </w:tc>
        <w:tc>
          <w:tcPr>
            <w:tcW w:w="252" w:type="dxa"/>
            <w:tcBorders/>
            <w:shd w:fill="FFFFFF" w:val="clear"/>
            <w:vAlign w:val="center"/>
          </w:tcPr>
          <w:p>
            <w:pPr>
              <w:pStyle w:val="TableContents"/>
              <w:bidi w:val="0"/>
              <w:spacing w:before="0" w:after="283"/>
              <w:jc w:val="left"/>
              <w:rPr/>
            </w:pPr>
            <w:r>
              <w:rPr/>
              <w:t>)%</w:t>
            </w:r>
          </w:p>
        </w:tc>
      </w:tr>
      <w:tr>
        <w:trPr/>
        <w:tc>
          <w:tcPr>
            <w:tcW w:w="2150" w:type="dxa"/>
            <w:tcBorders/>
            <w:shd w:fill="CCEEFF" w:val="clear"/>
            <w:vAlign w:val="center"/>
          </w:tcPr>
          <w:p>
            <w:pPr>
              <w:pStyle w:val="TableContents"/>
              <w:bidi w:val="0"/>
              <w:spacing w:before="0" w:after="283"/>
              <w:jc w:val="left"/>
              <w:rPr>
                <w:b/>
              </w:rPr>
            </w:pPr>
            <w:r>
              <w:rPr>
                <w:b/>
              </w:rPr>
              <w:t>Adjusted EBITDA</w:t>
            </w:r>
          </w:p>
        </w:tc>
        <w:tc>
          <w:tcPr>
            <w:tcW w:w="60" w:type="dxa"/>
            <w:tcBorders/>
            <w:shd w:fill="CCEEFF" w:val="clear"/>
            <w:vAlign w:val="center"/>
          </w:tcPr>
          <w:p>
            <w:pPr>
              <w:pStyle w:val="TableContents"/>
              <w:bidi w:val="0"/>
              <w:spacing w:before="0" w:after="283"/>
              <w:jc w:val="left"/>
              <w:rPr/>
            </w:pPr>
            <w:r>
              <w:rPr/>
              <w:t> </w:t>
            </w:r>
          </w:p>
        </w:tc>
        <w:tc>
          <w:tcPr>
            <w:tcW w:w="145"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661" w:type="dxa"/>
            <w:tcBorders>
              <w:bottom w:val="double" w:sz="6" w:space="0" w:color="000000"/>
            </w:tcBorders>
            <w:shd w:fill="CCEEFF" w:val="clear"/>
            <w:tcMar>
              <w:bottom w:w="28" w:type="dxa"/>
            </w:tcMar>
            <w:vAlign w:val="center"/>
          </w:tcPr>
          <w:p>
            <w:pPr>
              <w:pStyle w:val="TableContents"/>
              <w:bidi w:val="0"/>
              <w:spacing w:before="0" w:after="283"/>
              <w:jc w:val="right"/>
              <w:rPr/>
            </w:pPr>
            <w:r>
              <w:rPr/>
              <w:t>229</w:t>
            </w:r>
          </w:p>
        </w:tc>
        <w:tc>
          <w:tcPr>
            <w:tcW w:w="98"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45"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786" w:type="dxa"/>
            <w:tcBorders>
              <w:bottom w:val="double" w:sz="6" w:space="0" w:color="000000"/>
            </w:tcBorders>
            <w:shd w:fill="CCEEFF" w:val="clear"/>
            <w:tcMar>
              <w:bottom w:w="28" w:type="dxa"/>
            </w:tcMar>
            <w:vAlign w:val="center"/>
          </w:tcPr>
          <w:p>
            <w:pPr>
              <w:pStyle w:val="TableContents"/>
              <w:bidi w:val="0"/>
              <w:spacing w:before="0" w:after="283"/>
              <w:jc w:val="right"/>
              <w:rPr/>
            </w:pPr>
            <w:r>
              <w:rPr/>
              <w:t>(4,090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635" w:type="dxa"/>
            <w:tcBorders>
              <w:bottom w:val="double" w:sz="6" w:space="0" w:color="000000"/>
            </w:tcBorders>
            <w:shd w:fill="CCEEFF" w:val="clear"/>
            <w:tcMar>
              <w:bottom w:w="28" w:type="dxa"/>
            </w:tcMar>
            <w:vAlign w:val="center"/>
          </w:tcPr>
          <w:p>
            <w:pPr>
              <w:pStyle w:val="TableContents"/>
              <w:bidi w:val="0"/>
              <w:spacing w:before="0" w:after="283"/>
              <w:jc w:val="right"/>
              <w:rPr/>
            </w:pPr>
            <w:r>
              <w:rPr/>
              <w:t>4,319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35" w:type="dxa"/>
            <w:tcBorders>
              <w:bottom w:val="double" w:sz="6" w:space="0" w:color="000000"/>
            </w:tcBorders>
            <w:shd w:fill="CCEEFF" w:val="clear"/>
            <w:tcMar>
              <w:bottom w:w="28" w:type="dxa"/>
            </w:tcMar>
            <w:vAlign w:val="center"/>
          </w:tcPr>
          <w:p>
            <w:pPr>
              <w:pStyle w:val="TableContents"/>
              <w:bidi w:val="0"/>
              <w:spacing w:before="0" w:after="283"/>
              <w:jc w:val="right"/>
              <w:rPr/>
            </w:pPr>
            <w:r>
              <w:rPr/>
              <w:t>105.6</w:t>
            </w:r>
          </w:p>
        </w:tc>
        <w:tc>
          <w:tcPr>
            <w:tcW w:w="230"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758" w:type="dxa"/>
            <w:tcBorders>
              <w:bottom w:val="double" w:sz="6" w:space="0" w:color="000000"/>
            </w:tcBorders>
            <w:shd w:fill="CCEEFF" w:val="clear"/>
            <w:tcMar>
              <w:bottom w:w="28" w:type="dxa"/>
            </w:tcMar>
            <w:vAlign w:val="center"/>
          </w:tcPr>
          <w:p>
            <w:pPr>
              <w:pStyle w:val="TableContents"/>
              <w:bidi w:val="0"/>
              <w:spacing w:before="0" w:after="283"/>
              <w:jc w:val="right"/>
              <w:rPr/>
            </w:pPr>
            <w:r>
              <w:rPr/>
              <w:t>(2,209</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758" w:type="dxa"/>
            <w:tcBorders>
              <w:bottom w:val="double" w:sz="6" w:space="0" w:color="000000"/>
            </w:tcBorders>
            <w:shd w:fill="CCEEFF" w:val="clear"/>
            <w:tcMar>
              <w:bottom w:w="28" w:type="dxa"/>
            </w:tcMar>
            <w:vAlign w:val="center"/>
          </w:tcPr>
          <w:p>
            <w:pPr>
              <w:pStyle w:val="TableContents"/>
              <w:bidi w:val="0"/>
              <w:spacing w:before="0" w:after="283"/>
              <w:jc w:val="right"/>
              <w:rPr/>
            </w:pPr>
            <w:r>
              <w:rPr/>
              <w:t>(9,198</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680" w:type="dxa"/>
            <w:tcBorders>
              <w:bottom w:val="double" w:sz="6" w:space="0" w:color="000000"/>
            </w:tcBorders>
            <w:shd w:fill="CCEEFF" w:val="clear"/>
            <w:tcMar>
              <w:bottom w:w="28" w:type="dxa"/>
            </w:tcMar>
            <w:vAlign w:val="center"/>
          </w:tcPr>
          <w:p>
            <w:pPr>
              <w:pStyle w:val="TableContents"/>
              <w:bidi w:val="0"/>
              <w:spacing w:before="0" w:after="283"/>
              <w:jc w:val="right"/>
              <w:rPr/>
            </w:pPr>
            <w:r>
              <w:rPr/>
              <w:t>6,988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35" w:type="dxa"/>
            <w:tcBorders>
              <w:bottom w:val="double" w:sz="6" w:space="0" w:color="000000"/>
            </w:tcBorders>
            <w:shd w:fill="CCEEFF" w:val="clear"/>
            <w:tcMar>
              <w:bottom w:w="28" w:type="dxa"/>
            </w:tcMar>
            <w:vAlign w:val="center"/>
          </w:tcPr>
          <w:p>
            <w:pPr>
              <w:pStyle w:val="TableContents"/>
              <w:bidi w:val="0"/>
              <w:spacing w:before="0" w:after="283"/>
              <w:jc w:val="right"/>
              <w:rPr/>
            </w:pPr>
            <w:r>
              <w:rPr/>
              <w:t>76.0</w:t>
            </w:r>
          </w:p>
        </w:tc>
        <w:tc>
          <w:tcPr>
            <w:tcW w:w="252" w:type="dxa"/>
            <w:tcBorders/>
            <w:shd w:fill="CCEEFF" w:val="clear"/>
            <w:vAlign w:val="center"/>
          </w:tcPr>
          <w:p>
            <w:pPr>
              <w:pStyle w:val="TableContents"/>
              <w:bidi w:val="0"/>
              <w:spacing w:before="0" w:after="283"/>
              <w:jc w:val="left"/>
              <w:rPr/>
            </w:pPr>
            <w:r>
              <w:rPr/>
              <w:t>%</w:t>
            </w:r>
          </w:p>
        </w:tc>
      </w:tr>
    </w:tbl>
    <w:p>
      <w:pPr>
        <w:pStyle w:val="TextBody"/>
        <w:bidi w:val="0"/>
        <w:spacing w:before="0" w:after="0"/>
        <w:ind w:left="270" w:right="0" w:hanging="270"/>
        <w:jc w:val="both"/>
        <w:rPr>
          <w:caps w:val="false"/>
          <w:smallCaps w:val="false"/>
        </w:rPr>
      </w:pPr>
      <w:r>
        <w:rPr>
          <w:caps w:val="false"/>
          <w:smallCaps w:val="false"/>
        </w:rPr>
        <w:t> </w:t>
      </w:r>
    </w:p>
    <w:p>
      <w:pPr>
        <w:pStyle w:val="TextBody"/>
        <w:bidi w:val="0"/>
        <w:spacing w:before="0" w:after="0"/>
        <w:ind w:left="270" w:right="0" w:hanging="270"/>
        <w:jc w:val="both"/>
        <w:rPr>
          <w:caps w:val="false"/>
          <w:smallCaps w:val="false"/>
        </w:rPr>
      </w:pPr>
      <w:r>
        <w:rPr>
          <w:caps w:val="false"/>
          <w:smallCaps w:val="false"/>
        </w:rPr>
        <w:t> </w:t>
      </w:r>
    </w:p>
    <w:tbl>
      <w:tblPr>
        <w:tblW w:w="6519" w:type="dxa"/>
        <w:jc w:val="left"/>
        <w:tblInd w:w="0" w:type="dxa"/>
        <w:tblLayout w:type="fixed"/>
        <w:tblCellMar>
          <w:top w:w="0" w:type="dxa"/>
          <w:left w:w="0" w:type="dxa"/>
          <w:bottom w:w="0" w:type="dxa"/>
          <w:right w:w="0" w:type="dxa"/>
        </w:tblCellMar>
      </w:tblPr>
      <w:tblGrid>
        <w:gridCol w:w="4205"/>
        <w:gridCol w:w="60"/>
        <w:gridCol w:w="139"/>
        <w:gridCol w:w="881"/>
        <w:gridCol w:w="139"/>
        <w:gridCol w:w="139"/>
        <w:gridCol w:w="139"/>
        <w:gridCol w:w="742"/>
        <w:gridCol w:w="75"/>
      </w:tblGrid>
      <w:tr>
        <w:trPr/>
        <w:tc>
          <w:tcPr>
            <w:tcW w:w="6519" w:type="dxa"/>
            <w:gridSpan w:val="9"/>
            <w:tcBorders/>
            <w:vAlign w:val="center"/>
          </w:tcPr>
          <w:p>
            <w:pPr>
              <w:pStyle w:val="TableContents"/>
              <w:bidi w:val="0"/>
              <w:spacing w:before="0" w:after="283"/>
              <w:jc w:val="center"/>
              <w:rPr>
                <w:b/>
                <w:sz w:val="16"/>
              </w:rPr>
            </w:pPr>
            <w:r>
              <w:rPr>
                <w:b/>
                <w:sz w:val="16"/>
              </w:rPr>
              <w:t>Key Business Metrics</w:t>
            </w:r>
          </w:p>
        </w:tc>
      </w:tr>
      <w:tr>
        <w:trPr/>
        <w:tc>
          <w:tcPr>
            <w:tcW w:w="6519" w:type="dxa"/>
            <w:gridSpan w:val="9"/>
            <w:tcBorders/>
            <w:vAlign w:val="center"/>
          </w:tcPr>
          <w:p>
            <w:pPr>
              <w:pStyle w:val="TableContents"/>
              <w:bidi w:val="0"/>
              <w:spacing w:before="0" w:after="283"/>
              <w:jc w:val="center"/>
              <w:rPr/>
            </w:pPr>
            <w:r>
              <w:rPr/>
              <w:t> </w:t>
            </w:r>
          </w:p>
        </w:tc>
      </w:tr>
      <w:tr>
        <w:trPr/>
        <w:tc>
          <w:tcPr>
            <w:tcW w:w="42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79" w:type="dxa"/>
            <w:gridSpan w:val="6"/>
            <w:tcBorders>
              <w:bottom w:val="single" w:sz="8" w:space="0" w:color="000000"/>
            </w:tcBorders>
            <w:tcMar>
              <w:bottom w:w="28" w:type="dxa"/>
            </w:tcMar>
            <w:vAlign w:val="center"/>
          </w:tcPr>
          <w:p>
            <w:pPr>
              <w:pStyle w:val="TableContents"/>
              <w:bidi w:val="0"/>
              <w:spacing w:before="0" w:after="283"/>
              <w:jc w:val="center"/>
              <w:rPr>
                <w:b/>
                <w:sz w:val="16"/>
              </w:rPr>
            </w:pPr>
            <w:r>
              <w:rPr>
                <w:b/>
                <w:sz w:val="16"/>
              </w:rPr>
              <w:t>Three Months Ended June 30,</w:t>
            </w:r>
          </w:p>
        </w:tc>
        <w:tc>
          <w:tcPr>
            <w:tcW w:w="75" w:type="dxa"/>
            <w:tcBorders/>
            <w:vAlign w:val="center"/>
          </w:tcPr>
          <w:p>
            <w:pPr>
              <w:pStyle w:val="TableContents"/>
              <w:bidi w:val="0"/>
              <w:spacing w:before="0" w:after="283"/>
              <w:jc w:val="left"/>
              <w:rPr/>
            </w:pPr>
            <w:r>
              <w:rPr/>
              <w:t> </w:t>
            </w:r>
          </w:p>
        </w:tc>
      </w:tr>
      <w:tr>
        <w:trPr/>
        <w:tc>
          <w:tcPr>
            <w:tcW w:w="4205" w:type="dxa"/>
            <w:tcBorders>
              <w:bottom w:val="single" w:sz="8" w:space="0" w:color="000000"/>
            </w:tcBorders>
            <w:tcMar>
              <w:bottom w:w="28" w:type="dxa"/>
            </w:tcMar>
            <w:vAlign w:val="center"/>
          </w:tcPr>
          <w:p>
            <w:pPr>
              <w:pStyle w:val="TableContents"/>
              <w:bidi w:val="0"/>
              <w:spacing w:before="0" w:after="283"/>
              <w:jc w:val="left"/>
              <w:rPr>
                <w:i/>
                <w:sz w:val="16"/>
              </w:rPr>
            </w:pPr>
            <w:r>
              <w:rPr>
                <w:i/>
                <w:sz w:val="16"/>
              </w:rPr>
              <w:t>(dollars in thousands)</w:t>
            </w:r>
          </w:p>
        </w:tc>
        <w:tc>
          <w:tcPr>
            <w:tcW w:w="60" w:type="dxa"/>
            <w:tcBorders/>
            <w:vAlign w:val="center"/>
          </w:tcPr>
          <w:p>
            <w:pPr>
              <w:pStyle w:val="TableContents"/>
              <w:bidi w:val="0"/>
              <w:spacing w:before="0" w:after="283"/>
              <w:jc w:val="left"/>
              <w:rPr/>
            </w:pPr>
            <w:r>
              <w:rPr/>
              <w:t> </w:t>
            </w:r>
          </w:p>
        </w:tc>
        <w:tc>
          <w:tcPr>
            <w:tcW w:w="1020" w:type="dxa"/>
            <w:gridSpan w:val="2"/>
            <w:tcBorders>
              <w:bottom w:val="single" w:sz="8" w:space="0" w:color="000000"/>
            </w:tcBorders>
            <w:tcMar>
              <w:bottom w:w="28" w:type="dxa"/>
            </w:tcMar>
            <w:vAlign w:val="center"/>
          </w:tcPr>
          <w:p>
            <w:pPr>
              <w:pStyle w:val="TableContents"/>
              <w:bidi w:val="0"/>
              <w:spacing w:before="0" w:after="283"/>
              <w:jc w:val="center"/>
              <w:rPr>
                <w:b/>
                <w:sz w:val="16"/>
              </w:rPr>
            </w:pPr>
            <w:r>
              <w:rPr>
                <w:b/>
                <w:sz w:val="16"/>
              </w:rPr>
              <w:t>2026</w:t>
            </w:r>
          </w:p>
        </w:tc>
        <w:tc>
          <w:tcPr>
            <w:tcW w:w="139" w:type="dxa"/>
            <w:tcBorders/>
            <w:vAlign w:val="center"/>
          </w:tcPr>
          <w:p>
            <w:pPr>
              <w:pStyle w:val="TableContents"/>
              <w:bidi w:val="0"/>
              <w:spacing w:before="0" w:after="283"/>
              <w:jc w:val="left"/>
              <w:rPr/>
            </w:pPr>
            <w:r>
              <w:rPr/>
              <w:t> </w:t>
            </w:r>
          </w:p>
        </w:tc>
        <w:tc>
          <w:tcPr>
            <w:tcW w:w="139" w:type="dxa"/>
            <w:tcBorders/>
            <w:vAlign w:val="center"/>
          </w:tcPr>
          <w:p>
            <w:pPr>
              <w:pStyle w:val="TableContents"/>
              <w:bidi w:val="0"/>
              <w:spacing w:before="0" w:after="283"/>
              <w:jc w:val="left"/>
              <w:rPr/>
            </w:pPr>
            <w:r>
              <w:rPr/>
              <w:t> </w:t>
            </w:r>
          </w:p>
        </w:tc>
        <w:tc>
          <w:tcPr>
            <w:tcW w:w="881" w:type="dxa"/>
            <w:gridSpan w:val="2"/>
            <w:tcBorders>
              <w:bottom w:val="single" w:sz="8" w:space="0" w:color="000000"/>
            </w:tcBorders>
            <w:tcMar>
              <w:bottom w:w="28" w:type="dxa"/>
            </w:tcMar>
            <w:vAlign w:val="center"/>
          </w:tcPr>
          <w:p>
            <w:pPr>
              <w:pStyle w:val="TableContents"/>
              <w:bidi w:val="0"/>
              <w:spacing w:before="0" w:after="283"/>
              <w:jc w:val="center"/>
              <w:rPr>
                <w:b/>
                <w:sz w:val="16"/>
              </w:rPr>
            </w:pPr>
            <w:r>
              <w:rPr>
                <w:b/>
                <w:sz w:val="16"/>
              </w:rPr>
              <w:t>2025</w:t>
            </w:r>
          </w:p>
        </w:tc>
        <w:tc>
          <w:tcPr>
            <w:tcW w:w="75" w:type="dxa"/>
            <w:tcBorders/>
            <w:vAlign w:val="center"/>
          </w:tcPr>
          <w:p>
            <w:pPr>
              <w:pStyle w:val="TableContents"/>
              <w:bidi w:val="0"/>
              <w:spacing w:before="0" w:after="283"/>
              <w:jc w:val="left"/>
              <w:rPr/>
            </w:pPr>
            <w:r>
              <w:rPr/>
              <w:t> </w:t>
            </w:r>
          </w:p>
        </w:tc>
      </w:tr>
      <w:tr>
        <w:trPr/>
        <w:tc>
          <w:tcPr>
            <w:tcW w:w="4205" w:type="dxa"/>
            <w:tcBorders/>
            <w:shd w:fill="CCEEFF" w:val="clear"/>
            <w:vAlign w:val="center"/>
          </w:tcPr>
          <w:p>
            <w:pPr>
              <w:pStyle w:val="TableContents"/>
              <w:bidi w:val="0"/>
              <w:spacing w:lineRule="auto" w:line="316" w:before="0" w:after="283"/>
              <w:jc w:val="left"/>
              <w:rPr>
                <w:sz w:val="20"/>
              </w:rPr>
            </w:pPr>
            <w:r>
              <w:rPr>
                <w:sz w:val="20"/>
              </w:rPr>
              <w:t xml:space="preserve">Affiliated and Network Clinics </w:t>
            </w:r>
            <w:r>
              <w:rPr>
                <w:position w:val="7"/>
                <w:sz w:val="16"/>
                <w:sz w:val="20"/>
              </w:rPr>
              <w:t>(1)</w:t>
            </w:r>
          </w:p>
        </w:tc>
        <w:tc>
          <w:tcPr>
            <w:tcW w:w="60" w:type="dxa"/>
            <w:tcBorders/>
            <w:shd w:fill="CCEEFF" w:val="clear"/>
            <w:vAlign w:val="center"/>
          </w:tcPr>
          <w:p>
            <w:pPr>
              <w:pStyle w:val="TableContents"/>
              <w:bidi w:val="0"/>
              <w:spacing w:before="0" w:after="283"/>
              <w:jc w:val="left"/>
              <w:rPr/>
            </w:pPr>
            <w:r>
              <w:rPr/>
              <w:t> </w:t>
            </w:r>
          </w:p>
        </w:tc>
        <w:tc>
          <w:tcPr>
            <w:tcW w:w="139" w:type="dxa"/>
            <w:tcBorders/>
            <w:shd w:fill="CCEEFF" w:val="clear"/>
            <w:vAlign w:val="center"/>
          </w:tcPr>
          <w:p>
            <w:pPr>
              <w:pStyle w:val="TableContents"/>
              <w:bidi w:val="0"/>
              <w:spacing w:before="0" w:after="283"/>
              <w:jc w:val="left"/>
              <w:rPr/>
            </w:pPr>
            <w:r>
              <w:rPr/>
              <w:t> </w:t>
            </w:r>
          </w:p>
        </w:tc>
        <w:tc>
          <w:tcPr>
            <w:tcW w:w="881" w:type="dxa"/>
            <w:tcBorders/>
            <w:shd w:fill="CCEEFF" w:val="clear"/>
            <w:vAlign w:val="center"/>
          </w:tcPr>
          <w:p>
            <w:pPr>
              <w:pStyle w:val="TableContents"/>
              <w:bidi w:val="0"/>
              <w:spacing w:before="0" w:after="283"/>
              <w:jc w:val="right"/>
              <w:rPr/>
            </w:pPr>
            <w:r>
              <w:rPr/>
              <w:t>301</w:t>
            </w:r>
          </w:p>
        </w:tc>
        <w:tc>
          <w:tcPr>
            <w:tcW w:w="139" w:type="dxa"/>
            <w:tcBorders/>
            <w:shd w:fill="CCEEFF" w:val="clear"/>
            <w:vAlign w:val="center"/>
          </w:tcPr>
          <w:p>
            <w:pPr>
              <w:pStyle w:val="TableContents"/>
              <w:bidi w:val="0"/>
              <w:spacing w:before="0" w:after="283"/>
              <w:jc w:val="left"/>
              <w:rPr/>
            </w:pPr>
            <w:r>
              <w:rPr/>
              <w:t> </w:t>
            </w:r>
          </w:p>
        </w:tc>
        <w:tc>
          <w:tcPr>
            <w:tcW w:w="139" w:type="dxa"/>
            <w:tcBorders/>
            <w:shd w:fill="CCEEFF" w:val="clear"/>
            <w:vAlign w:val="center"/>
          </w:tcPr>
          <w:p>
            <w:pPr>
              <w:pStyle w:val="TableContents"/>
              <w:bidi w:val="0"/>
              <w:spacing w:before="0" w:after="283"/>
              <w:jc w:val="left"/>
              <w:rPr/>
            </w:pPr>
            <w:r>
              <w:rPr/>
              <w:t> </w:t>
            </w:r>
          </w:p>
        </w:tc>
        <w:tc>
          <w:tcPr>
            <w:tcW w:w="139" w:type="dxa"/>
            <w:tcBorders/>
            <w:shd w:fill="CCEEFF" w:val="clear"/>
            <w:vAlign w:val="center"/>
          </w:tcPr>
          <w:p>
            <w:pPr>
              <w:pStyle w:val="TableContents"/>
              <w:bidi w:val="0"/>
              <w:spacing w:before="0" w:after="283"/>
              <w:jc w:val="left"/>
              <w:rPr/>
            </w:pPr>
            <w:r>
              <w:rPr/>
              <w:t> </w:t>
            </w:r>
          </w:p>
        </w:tc>
        <w:tc>
          <w:tcPr>
            <w:tcW w:w="742" w:type="dxa"/>
            <w:tcBorders/>
            <w:shd w:fill="CCEEFF" w:val="clear"/>
            <w:vAlign w:val="center"/>
          </w:tcPr>
          <w:p>
            <w:pPr>
              <w:pStyle w:val="TableContents"/>
              <w:bidi w:val="0"/>
              <w:spacing w:before="0" w:after="283"/>
              <w:jc w:val="right"/>
              <w:rPr/>
            </w:pPr>
            <w:r>
              <w:rPr/>
              <w:t>80</w:t>
            </w:r>
          </w:p>
        </w:tc>
        <w:tc>
          <w:tcPr>
            <w:tcW w:w="75" w:type="dxa"/>
            <w:tcBorders/>
            <w:shd w:fill="CCEEFF" w:val="clear"/>
            <w:vAlign w:val="center"/>
          </w:tcPr>
          <w:p>
            <w:pPr>
              <w:pStyle w:val="TableContents"/>
              <w:bidi w:val="0"/>
              <w:spacing w:before="0" w:after="283"/>
              <w:jc w:val="left"/>
              <w:rPr/>
            </w:pPr>
            <w:r>
              <w:rPr/>
              <w:t> </w:t>
            </w:r>
          </w:p>
        </w:tc>
      </w:tr>
      <w:tr>
        <w:trPr/>
        <w:tc>
          <w:tcPr>
            <w:tcW w:w="4205" w:type="dxa"/>
            <w:tcBorders/>
            <w:shd w:fill="FFFFFF" w:val="clear"/>
            <w:vAlign w:val="center"/>
          </w:tcPr>
          <w:p>
            <w:pPr>
              <w:pStyle w:val="TableContents"/>
              <w:bidi w:val="0"/>
              <w:spacing w:before="0" w:after="283"/>
              <w:jc w:val="left"/>
              <w:rPr/>
            </w:pPr>
            <w:r>
              <w:rPr/>
              <w:t>Markets</w:t>
            </w:r>
          </w:p>
        </w:tc>
        <w:tc>
          <w:tcPr>
            <w:tcW w:w="60" w:type="dxa"/>
            <w:tcBorders/>
            <w:shd w:fill="FFFFFF" w:val="clear"/>
            <w:vAlign w:val="center"/>
          </w:tcPr>
          <w:p>
            <w:pPr>
              <w:pStyle w:val="TableContents"/>
              <w:bidi w:val="0"/>
              <w:spacing w:before="0" w:after="283"/>
              <w:jc w:val="left"/>
              <w:rPr/>
            </w:pPr>
            <w:r>
              <w:rPr/>
              <w:t> </w:t>
            </w:r>
          </w:p>
        </w:tc>
        <w:tc>
          <w:tcPr>
            <w:tcW w:w="139" w:type="dxa"/>
            <w:tcBorders/>
            <w:shd w:fill="FFFFFF" w:val="clear"/>
            <w:vAlign w:val="center"/>
          </w:tcPr>
          <w:p>
            <w:pPr>
              <w:pStyle w:val="TableContents"/>
              <w:bidi w:val="0"/>
              <w:spacing w:before="0" w:after="283"/>
              <w:jc w:val="left"/>
              <w:rPr/>
            </w:pPr>
            <w:r>
              <w:rPr/>
              <w:t> </w:t>
            </w:r>
          </w:p>
        </w:tc>
        <w:tc>
          <w:tcPr>
            <w:tcW w:w="881" w:type="dxa"/>
            <w:tcBorders/>
            <w:shd w:fill="FFFFFF" w:val="clear"/>
            <w:vAlign w:val="center"/>
          </w:tcPr>
          <w:p>
            <w:pPr>
              <w:pStyle w:val="TableContents"/>
              <w:bidi w:val="0"/>
              <w:spacing w:before="0" w:after="283"/>
              <w:jc w:val="right"/>
              <w:rPr/>
            </w:pPr>
            <w:r>
              <w:rPr/>
              <w:t>17</w:t>
            </w:r>
          </w:p>
        </w:tc>
        <w:tc>
          <w:tcPr>
            <w:tcW w:w="139" w:type="dxa"/>
            <w:tcBorders/>
            <w:shd w:fill="FFFFFF" w:val="clear"/>
            <w:vAlign w:val="center"/>
          </w:tcPr>
          <w:p>
            <w:pPr>
              <w:pStyle w:val="TableContents"/>
              <w:bidi w:val="0"/>
              <w:spacing w:before="0" w:after="283"/>
              <w:jc w:val="left"/>
              <w:rPr/>
            </w:pPr>
            <w:r>
              <w:rPr/>
              <w:t> </w:t>
            </w:r>
          </w:p>
        </w:tc>
        <w:tc>
          <w:tcPr>
            <w:tcW w:w="139" w:type="dxa"/>
            <w:tcBorders/>
            <w:shd w:fill="FFFFFF" w:val="clear"/>
            <w:vAlign w:val="center"/>
          </w:tcPr>
          <w:p>
            <w:pPr>
              <w:pStyle w:val="TableContents"/>
              <w:bidi w:val="0"/>
              <w:spacing w:before="0" w:after="283"/>
              <w:jc w:val="left"/>
              <w:rPr/>
            </w:pPr>
            <w:r>
              <w:rPr/>
              <w:t> </w:t>
            </w:r>
          </w:p>
        </w:tc>
        <w:tc>
          <w:tcPr>
            <w:tcW w:w="139" w:type="dxa"/>
            <w:tcBorders/>
            <w:shd w:fill="FFFFFF" w:val="clear"/>
            <w:vAlign w:val="center"/>
          </w:tcPr>
          <w:p>
            <w:pPr>
              <w:pStyle w:val="TableContents"/>
              <w:bidi w:val="0"/>
              <w:spacing w:before="0" w:after="283"/>
              <w:jc w:val="left"/>
              <w:rPr/>
            </w:pPr>
            <w:r>
              <w:rPr/>
              <w:t> </w:t>
            </w:r>
          </w:p>
        </w:tc>
        <w:tc>
          <w:tcPr>
            <w:tcW w:w="742" w:type="dxa"/>
            <w:tcBorders/>
            <w:shd w:fill="FFFFFF" w:val="clear"/>
            <w:vAlign w:val="center"/>
          </w:tcPr>
          <w:p>
            <w:pPr>
              <w:pStyle w:val="TableContents"/>
              <w:bidi w:val="0"/>
              <w:spacing w:before="0" w:after="283"/>
              <w:jc w:val="right"/>
              <w:rPr/>
            </w:pPr>
            <w:r>
              <w:rPr/>
              <w:t>20</w:t>
            </w:r>
          </w:p>
        </w:tc>
        <w:tc>
          <w:tcPr>
            <w:tcW w:w="75" w:type="dxa"/>
            <w:tcBorders/>
            <w:shd w:fill="FFFFFF" w:val="clear"/>
            <w:vAlign w:val="center"/>
          </w:tcPr>
          <w:p>
            <w:pPr>
              <w:pStyle w:val="TableContents"/>
              <w:bidi w:val="0"/>
              <w:spacing w:before="0" w:after="283"/>
              <w:jc w:val="left"/>
              <w:rPr/>
            </w:pPr>
            <w:r>
              <w:rPr/>
              <w:t> </w:t>
            </w:r>
          </w:p>
        </w:tc>
      </w:tr>
      <w:tr>
        <w:trPr/>
        <w:tc>
          <w:tcPr>
            <w:tcW w:w="4205" w:type="dxa"/>
            <w:tcBorders/>
            <w:shd w:fill="CCEEFF" w:val="clear"/>
            <w:vAlign w:val="center"/>
          </w:tcPr>
          <w:p>
            <w:pPr>
              <w:pStyle w:val="TableContents"/>
              <w:bidi w:val="0"/>
              <w:spacing w:before="0" w:after="283"/>
              <w:jc w:val="left"/>
              <w:rPr/>
            </w:pPr>
            <w:r>
              <w:rPr/>
              <w:t>Lives under value-based contracts (millions)</w:t>
            </w:r>
          </w:p>
        </w:tc>
        <w:tc>
          <w:tcPr>
            <w:tcW w:w="60" w:type="dxa"/>
            <w:tcBorders/>
            <w:shd w:fill="CCEEFF" w:val="clear"/>
            <w:vAlign w:val="center"/>
          </w:tcPr>
          <w:p>
            <w:pPr>
              <w:pStyle w:val="TableContents"/>
              <w:bidi w:val="0"/>
              <w:spacing w:before="0" w:after="283"/>
              <w:jc w:val="left"/>
              <w:rPr/>
            </w:pPr>
            <w:r>
              <w:rPr/>
              <w:t> </w:t>
            </w:r>
          </w:p>
        </w:tc>
        <w:tc>
          <w:tcPr>
            <w:tcW w:w="139" w:type="dxa"/>
            <w:tcBorders/>
            <w:shd w:fill="CCEEFF" w:val="clear"/>
            <w:vAlign w:val="center"/>
          </w:tcPr>
          <w:p>
            <w:pPr>
              <w:pStyle w:val="TableContents"/>
              <w:bidi w:val="0"/>
              <w:spacing w:before="0" w:after="283"/>
              <w:jc w:val="left"/>
              <w:rPr/>
            </w:pPr>
            <w:r>
              <w:rPr/>
              <w:t> </w:t>
            </w:r>
          </w:p>
        </w:tc>
        <w:tc>
          <w:tcPr>
            <w:tcW w:w="881" w:type="dxa"/>
            <w:tcBorders/>
            <w:shd w:fill="CCEEFF" w:val="clear"/>
            <w:vAlign w:val="center"/>
          </w:tcPr>
          <w:p>
            <w:pPr>
              <w:pStyle w:val="TableContents"/>
              <w:bidi w:val="0"/>
              <w:spacing w:before="0" w:after="283"/>
              <w:jc w:val="right"/>
              <w:rPr/>
            </w:pPr>
            <w:r>
              <w:rPr/>
              <w:t>2.1</w:t>
            </w:r>
          </w:p>
        </w:tc>
        <w:tc>
          <w:tcPr>
            <w:tcW w:w="139" w:type="dxa"/>
            <w:tcBorders/>
            <w:shd w:fill="CCEEFF" w:val="clear"/>
            <w:vAlign w:val="center"/>
          </w:tcPr>
          <w:p>
            <w:pPr>
              <w:pStyle w:val="TableContents"/>
              <w:bidi w:val="0"/>
              <w:spacing w:before="0" w:after="283"/>
              <w:jc w:val="left"/>
              <w:rPr/>
            </w:pPr>
            <w:r>
              <w:rPr/>
              <w:t> </w:t>
            </w:r>
          </w:p>
        </w:tc>
        <w:tc>
          <w:tcPr>
            <w:tcW w:w="139" w:type="dxa"/>
            <w:tcBorders/>
            <w:shd w:fill="CCEEFF" w:val="clear"/>
            <w:vAlign w:val="center"/>
          </w:tcPr>
          <w:p>
            <w:pPr>
              <w:pStyle w:val="TableContents"/>
              <w:bidi w:val="0"/>
              <w:spacing w:before="0" w:after="283"/>
              <w:jc w:val="left"/>
              <w:rPr/>
            </w:pPr>
            <w:r>
              <w:rPr/>
              <w:t> </w:t>
            </w:r>
          </w:p>
        </w:tc>
        <w:tc>
          <w:tcPr>
            <w:tcW w:w="139" w:type="dxa"/>
            <w:tcBorders/>
            <w:shd w:fill="CCEEFF" w:val="clear"/>
            <w:vAlign w:val="center"/>
          </w:tcPr>
          <w:p>
            <w:pPr>
              <w:pStyle w:val="TableContents"/>
              <w:bidi w:val="0"/>
              <w:spacing w:before="0" w:after="283"/>
              <w:jc w:val="left"/>
              <w:rPr/>
            </w:pPr>
            <w:r>
              <w:rPr/>
              <w:t> </w:t>
            </w:r>
          </w:p>
        </w:tc>
        <w:tc>
          <w:tcPr>
            <w:tcW w:w="742" w:type="dxa"/>
            <w:tcBorders/>
            <w:shd w:fill="CCEEFF" w:val="clear"/>
            <w:vAlign w:val="center"/>
          </w:tcPr>
          <w:p>
            <w:pPr>
              <w:pStyle w:val="TableContents"/>
              <w:bidi w:val="0"/>
              <w:spacing w:before="0" w:after="283"/>
              <w:jc w:val="right"/>
              <w:rPr/>
            </w:pPr>
            <w:r>
              <w:rPr/>
              <w:t>1.9</w:t>
            </w:r>
          </w:p>
        </w:tc>
        <w:tc>
          <w:tcPr>
            <w:tcW w:w="75" w:type="dxa"/>
            <w:tcBorders/>
            <w:shd w:fill="CCEEFF" w:val="clear"/>
            <w:vAlign w:val="center"/>
          </w:tcPr>
          <w:p>
            <w:pPr>
              <w:pStyle w:val="TableContents"/>
              <w:bidi w:val="0"/>
              <w:spacing w:before="0" w:after="283"/>
              <w:jc w:val="left"/>
              <w:rPr/>
            </w:pPr>
            <w:r>
              <w:rPr/>
              <w:t> </w:t>
            </w:r>
          </w:p>
        </w:tc>
      </w:tr>
    </w:tbl>
    <w:tbl>
      <w:tblPr>
        <w:tblW w:w="5000" w:type="pct"/>
        <w:jc w:val="left"/>
        <w:tblInd w:w="0" w:type="dxa"/>
        <w:tblLayout w:type="fixed"/>
        <w:tblCellMar>
          <w:top w:w="0" w:type="dxa"/>
          <w:left w:w="0" w:type="dxa"/>
          <w:bottom w:w="0" w:type="dxa"/>
          <w:right w:w="0" w:type="dxa"/>
        </w:tblCellMar>
      </w:tblPr>
      <w:tblGrid>
        <w:gridCol w:w="74"/>
        <w:gridCol w:w="154"/>
        <w:gridCol w:w="9977"/>
      </w:tblGrid>
      <w:tr>
        <w:trPr/>
        <w:tc>
          <w:tcPr>
            <w:tcW w:w="74" w:type="dxa"/>
            <w:tcBorders/>
            <w:vAlign w:val="center"/>
          </w:tcPr>
          <w:p>
            <w:pPr>
              <w:pStyle w:val="TableContents"/>
              <w:bidi w:val="0"/>
              <w:spacing w:before="0" w:after="283"/>
              <w:jc w:val="left"/>
              <w:rPr/>
            </w:pPr>
            <w:r>
              <w:rPr/>
              <w:t> </w:t>
            </w:r>
          </w:p>
        </w:tc>
        <w:tc>
          <w:tcPr>
            <w:tcW w:w="154" w:type="dxa"/>
            <w:tcBorders/>
            <w:vAlign w:val="center"/>
          </w:tcPr>
          <w:p>
            <w:pPr>
              <w:pStyle w:val="TableContents"/>
              <w:bidi w:val="0"/>
              <w:spacing w:before="0" w:after="283"/>
              <w:jc w:val="left"/>
              <w:rPr/>
            </w:pPr>
            <w:r>
              <w:rPr/>
              <w:t> </w:t>
            </w:r>
          </w:p>
        </w:tc>
        <w:tc>
          <w:tcPr>
            <w:tcW w:w="9977" w:type="dxa"/>
            <w:tcBorders/>
            <w:vAlign w:val="center"/>
          </w:tcPr>
          <w:p>
            <w:pPr>
              <w:pStyle w:val="TableContents"/>
              <w:bidi w:val="0"/>
              <w:spacing w:before="0" w:after="283"/>
              <w:jc w:val="both"/>
              <w:rPr/>
            </w:pPr>
            <w:r>
              <w:rPr/>
              <w:t> </w:t>
            </w:r>
          </w:p>
        </w:tc>
      </w:tr>
      <w:tr>
        <w:trPr/>
        <w:tc>
          <w:tcPr>
            <w:tcW w:w="7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position w:val="6"/>
                <w:sz w:val="14"/>
                <w:sz w:val="18"/>
              </w:rPr>
            </w:pPr>
            <w:r>
              <w:rPr>
                <w:position w:val="6"/>
                <w:sz w:val="14"/>
                <w:sz w:val="18"/>
              </w:rPr>
              <w:t>(1)</w:t>
            </w:r>
          </w:p>
        </w:tc>
        <w:tc>
          <w:tcPr>
            <w:tcW w:w="9977" w:type="dxa"/>
            <w:tcBorders/>
            <w:vAlign w:val="center"/>
          </w:tcPr>
          <w:p>
            <w:pPr>
              <w:pStyle w:val="TableContents"/>
              <w:bidi w:val="0"/>
              <w:spacing w:before="0" w:after="283"/>
              <w:jc w:val="both"/>
              <w:rPr>
                <w:sz w:val="20"/>
              </w:rPr>
            </w:pPr>
            <w:r>
              <w:rPr>
                <w:sz w:val="20"/>
              </w:rPr>
              <w:t>Number of clinics operated under the STLN PCs, whereby we receive a percentage of revenue under our management services agreements, or MSAs, and are consolidated. Additionally, includes independent oncology practices to which we provide limited management services and have network provider agreements, but do not bear the operating costs.</w:t>
            </w:r>
          </w:p>
        </w:tc>
      </w:tr>
    </w:tbl>
    <w:p>
      <w:pPr>
        <w:pStyle w:val="TextBody"/>
        <w:bidi w:val="0"/>
        <w:spacing w:before="0" w:after="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270" w:right="0" w:hanging="270"/>
        <w:jc w:val="both"/>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Consolidated Balance Sheets (Unaudited)</w:t>
      </w:r>
    </w:p>
    <w:p>
      <w:pPr>
        <w:pStyle w:val="TextBody"/>
        <w:bidi w:val="0"/>
        <w:spacing w:before="0" w:after="0"/>
        <w:ind w:left="0" w:right="0" w:hanging="0"/>
        <w:jc w:val="both"/>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(in thousands except share data)</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716"/>
        <w:gridCol w:w="60"/>
        <w:gridCol w:w="141"/>
        <w:gridCol w:w="882"/>
        <w:gridCol w:w="95"/>
        <w:gridCol w:w="60"/>
        <w:gridCol w:w="160"/>
        <w:gridCol w:w="1001"/>
        <w:gridCol w:w="90"/>
      </w:tblGrid>
      <w:tr>
        <w:trPr/>
        <w:tc>
          <w:tcPr>
            <w:tcW w:w="771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23" w:type="dxa"/>
            <w:gridSpan w:val="2"/>
            <w:tcBorders>
              <w:bottom w:val="single" w:sz="8" w:space="0" w:color="000000"/>
            </w:tcBorders>
            <w:tcMar>
              <w:bottom w:w="28" w:type="dxa"/>
            </w:tcMar>
            <w:vAlign w:val="center"/>
          </w:tcPr>
          <w:p>
            <w:pPr>
              <w:pStyle w:val="TableContents"/>
              <w:bidi w:val="0"/>
              <w:spacing w:before="0" w:after="283"/>
              <w:jc w:val="center"/>
              <w:rPr>
                <w:b/>
                <w:sz w:val="16"/>
              </w:rPr>
            </w:pPr>
            <w:r>
              <w:rPr>
                <w:b/>
                <w:sz w:val="16"/>
              </w:rPr>
              <w:t>June 30, 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1" w:type="dxa"/>
            <w:gridSpan w:val="2"/>
            <w:tcBorders>
              <w:bottom w:val="single" w:sz="8" w:space="0" w:color="000000"/>
            </w:tcBorders>
            <w:tcMar>
              <w:bottom w:w="28" w:type="dxa"/>
            </w:tcMar>
            <w:vAlign w:val="center"/>
          </w:tcPr>
          <w:p>
            <w:pPr>
              <w:pStyle w:val="TableContents"/>
              <w:bidi w:val="0"/>
              <w:spacing w:before="0" w:after="283"/>
              <w:jc w:val="center"/>
              <w:rPr>
                <w:b/>
                <w:sz w:val="16"/>
              </w:rPr>
            </w:pPr>
            <w:r>
              <w:rPr>
                <w:b/>
                <w:sz w:val="16"/>
              </w:rPr>
              <w:t>December 31, 2025</w:t>
            </w:r>
          </w:p>
        </w:tc>
        <w:tc>
          <w:tcPr>
            <w:tcW w:w="90" w:type="dxa"/>
            <w:tcBorders/>
            <w:vAlign w:val="center"/>
          </w:tcPr>
          <w:p>
            <w:pPr>
              <w:pStyle w:val="TableContents"/>
              <w:bidi w:val="0"/>
              <w:spacing w:before="0" w:after="283"/>
              <w:ind w:left="0" w:right="0" w:hanging="144"/>
              <w:jc w:val="left"/>
              <w:rPr/>
            </w:pPr>
            <w:r>
              <w:rPr/>
              <w:t> </w:t>
            </w:r>
          </w:p>
        </w:tc>
      </w:tr>
      <w:tr>
        <w:trPr/>
        <w:tc>
          <w:tcPr>
            <w:tcW w:w="7716" w:type="dxa"/>
            <w:tcBorders/>
            <w:shd w:fill="CCEEFF" w:val="clear"/>
            <w:vAlign w:val="center"/>
          </w:tcPr>
          <w:p>
            <w:pPr>
              <w:pStyle w:val="TableContents"/>
              <w:bidi w:val="0"/>
              <w:spacing w:before="0" w:after="283"/>
              <w:jc w:val="left"/>
              <w:rPr>
                <w:sz w:val="20"/>
              </w:rPr>
            </w:pPr>
            <w:r>
              <w:rPr>
                <w:sz w:val="20"/>
              </w:rPr>
              <w:t>Assets</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882"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 </w:t>
            </w:r>
          </w:p>
        </w:tc>
        <w:tc>
          <w:tcPr>
            <w:tcW w:w="1001"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ind w:left="0" w:right="0" w:hanging="144"/>
              <w:jc w:val="left"/>
              <w:rPr/>
            </w:pPr>
            <w:r>
              <w:rPr/>
              <w:t> </w:t>
            </w:r>
          </w:p>
        </w:tc>
      </w:tr>
      <w:tr>
        <w:trPr/>
        <w:tc>
          <w:tcPr>
            <w:tcW w:w="7716" w:type="dxa"/>
            <w:tcBorders/>
            <w:shd w:fill="FFFFFF" w:val="clear"/>
            <w:vAlign w:val="center"/>
          </w:tcPr>
          <w:p>
            <w:pPr>
              <w:pStyle w:val="TableContents"/>
              <w:bidi w:val="0"/>
              <w:spacing w:before="0" w:after="283"/>
              <w:jc w:val="left"/>
              <w:rPr>
                <w:sz w:val="20"/>
              </w:rPr>
            </w:pPr>
            <w:r>
              <w:rPr>
                <w:sz w:val="20"/>
              </w:rPr>
              <w:t>Current assets:</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882"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1001" w:type="dxa"/>
            <w:tcBorders/>
            <w:shd w:fill="FFFFFF" w:val="clear"/>
            <w:vAlign w:val="center"/>
          </w:tcPr>
          <w:p>
            <w:pPr>
              <w:pStyle w:val="TableContents"/>
              <w:bidi w:val="0"/>
              <w:spacing w:before="0" w:after="283"/>
              <w:jc w:val="right"/>
              <w:rPr/>
            </w:pPr>
            <w:r>
              <w:rPr/>
              <w:t> </w:t>
            </w:r>
          </w:p>
        </w:tc>
        <w:tc>
          <w:tcPr>
            <w:tcW w:w="90" w:type="dxa"/>
            <w:tcBorders/>
            <w:shd w:fill="FFFFFF" w:val="clear"/>
            <w:vAlign w:val="center"/>
          </w:tcPr>
          <w:p>
            <w:pPr>
              <w:pStyle w:val="TableContents"/>
              <w:bidi w:val="0"/>
              <w:spacing w:before="0" w:after="283"/>
              <w:ind w:left="0" w:right="0" w:hanging="144"/>
              <w:jc w:val="left"/>
              <w:rPr/>
            </w:pPr>
            <w:r>
              <w:rPr/>
              <w:t> </w:t>
            </w:r>
          </w:p>
        </w:tc>
      </w:tr>
      <w:tr>
        <w:trPr/>
        <w:tc>
          <w:tcPr>
            <w:tcW w:w="7716" w:type="dxa"/>
            <w:tcBorders/>
            <w:shd w:fill="CCEEFF" w:val="clear"/>
            <w:vAlign w:val="center"/>
          </w:tcPr>
          <w:p>
            <w:pPr>
              <w:pStyle w:val="TableContents"/>
              <w:bidi w:val="0"/>
              <w:spacing w:before="0" w:after="283"/>
              <w:jc w:val="left"/>
              <w:rPr>
                <w:sz w:val="20"/>
              </w:rPr>
            </w:pPr>
            <w:r>
              <w:rPr>
                <w:sz w:val="20"/>
              </w:rPr>
              <w:t>Cash and cash equivalents</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w:t>
            </w:r>
          </w:p>
        </w:tc>
        <w:tc>
          <w:tcPr>
            <w:tcW w:w="882" w:type="dxa"/>
            <w:tcBorders/>
            <w:shd w:fill="CCEEFF" w:val="clear"/>
            <w:vAlign w:val="center"/>
          </w:tcPr>
          <w:p>
            <w:pPr>
              <w:pStyle w:val="TableContents"/>
              <w:bidi w:val="0"/>
              <w:spacing w:before="0" w:after="283"/>
              <w:jc w:val="right"/>
              <w:rPr/>
            </w:pPr>
            <w:r>
              <w:rPr/>
              <w:t>41,094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w:t>
            </w:r>
          </w:p>
        </w:tc>
        <w:tc>
          <w:tcPr>
            <w:tcW w:w="1001" w:type="dxa"/>
            <w:tcBorders/>
            <w:shd w:fill="CCEEFF" w:val="clear"/>
            <w:vAlign w:val="center"/>
          </w:tcPr>
          <w:p>
            <w:pPr>
              <w:pStyle w:val="TableContents"/>
              <w:bidi w:val="0"/>
              <w:spacing w:before="0" w:after="283"/>
              <w:jc w:val="right"/>
              <w:rPr/>
            </w:pPr>
            <w:r>
              <w:rPr/>
              <w:t>33,565</w:t>
            </w:r>
          </w:p>
        </w:tc>
        <w:tc>
          <w:tcPr>
            <w:tcW w:w="90" w:type="dxa"/>
            <w:tcBorders/>
            <w:shd w:fill="CCEEFF" w:val="clear"/>
            <w:vAlign w:val="center"/>
          </w:tcPr>
          <w:p>
            <w:pPr>
              <w:pStyle w:val="TableContents"/>
              <w:bidi w:val="0"/>
              <w:spacing w:before="0" w:after="283"/>
              <w:ind w:left="0" w:right="0" w:hanging="144"/>
              <w:jc w:val="left"/>
              <w:rPr/>
            </w:pPr>
            <w:r>
              <w:rPr/>
              <w:t> </w:t>
            </w:r>
          </w:p>
        </w:tc>
      </w:tr>
      <w:tr>
        <w:trPr/>
        <w:tc>
          <w:tcPr>
            <w:tcW w:w="7716" w:type="dxa"/>
            <w:tcBorders/>
            <w:shd w:fill="FFFFFF" w:val="clear"/>
            <w:vAlign w:val="center"/>
          </w:tcPr>
          <w:p>
            <w:pPr>
              <w:pStyle w:val="TableContents"/>
              <w:bidi w:val="0"/>
              <w:spacing w:before="0" w:after="283"/>
              <w:jc w:val="left"/>
              <w:rPr>
                <w:sz w:val="20"/>
              </w:rPr>
            </w:pPr>
            <w:r>
              <w:rPr>
                <w:sz w:val="20"/>
              </w:rPr>
              <w:t>Accounts receivable, net</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882" w:type="dxa"/>
            <w:tcBorders/>
            <w:shd w:fill="FFFFFF" w:val="clear"/>
            <w:vAlign w:val="center"/>
          </w:tcPr>
          <w:p>
            <w:pPr>
              <w:pStyle w:val="TableContents"/>
              <w:bidi w:val="0"/>
              <w:spacing w:before="0" w:after="283"/>
              <w:jc w:val="right"/>
              <w:rPr/>
            </w:pPr>
            <w:r>
              <w:rPr/>
              <w:t>66,349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1001" w:type="dxa"/>
            <w:tcBorders/>
            <w:shd w:fill="FFFFFF" w:val="clear"/>
            <w:vAlign w:val="center"/>
          </w:tcPr>
          <w:p>
            <w:pPr>
              <w:pStyle w:val="TableContents"/>
              <w:bidi w:val="0"/>
              <w:spacing w:before="0" w:after="283"/>
              <w:jc w:val="right"/>
              <w:rPr/>
            </w:pPr>
            <w:r>
              <w:rPr/>
              <w:t>58,998</w:t>
            </w:r>
          </w:p>
        </w:tc>
        <w:tc>
          <w:tcPr>
            <w:tcW w:w="90" w:type="dxa"/>
            <w:tcBorders/>
            <w:shd w:fill="FFFFFF" w:val="clear"/>
            <w:vAlign w:val="center"/>
          </w:tcPr>
          <w:p>
            <w:pPr>
              <w:pStyle w:val="TableContents"/>
              <w:bidi w:val="0"/>
              <w:spacing w:before="0" w:after="283"/>
              <w:ind w:left="0" w:right="0" w:hanging="144"/>
              <w:jc w:val="left"/>
              <w:rPr/>
            </w:pPr>
            <w:r>
              <w:rPr/>
              <w:t> </w:t>
            </w:r>
          </w:p>
        </w:tc>
      </w:tr>
      <w:tr>
        <w:trPr/>
        <w:tc>
          <w:tcPr>
            <w:tcW w:w="7716" w:type="dxa"/>
            <w:tcBorders/>
            <w:shd w:fill="CCEEFF" w:val="clear"/>
            <w:vAlign w:val="center"/>
          </w:tcPr>
          <w:p>
            <w:pPr>
              <w:pStyle w:val="TableContents"/>
              <w:bidi w:val="0"/>
              <w:spacing w:before="0" w:after="283"/>
              <w:jc w:val="left"/>
              <w:rPr>
                <w:sz w:val="20"/>
              </w:rPr>
            </w:pPr>
            <w:r>
              <w:rPr>
                <w:sz w:val="20"/>
              </w:rPr>
              <w:t>Other receivables</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882" w:type="dxa"/>
            <w:tcBorders/>
            <w:shd w:fill="CCEEFF" w:val="clear"/>
            <w:vAlign w:val="center"/>
          </w:tcPr>
          <w:p>
            <w:pPr>
              <w:pStyle w:val="TableContents"/>
              <w:bidi w:val="0"/>
              <w:spacing w:before="0" w:after="283"/>
              <w:jc w:val="right"/>
              <w:rPr/>
            </w:pPr>
            <w:r>
              <w:rPr/>
              <w:t>360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 </w:t>
            </w:r>
          </w:p>
        </w:tc>
        <w:tc>
          <w:tcPr>
            <w:tcW w:w="1001" w:type="dxa"/>
            <w:tcBorders/>
            <w:shd w:fill="CCEEFF" w:val="clear"/>
            <w:vAlign w:val="center"/>
          </w:tcPr>
          <w:p>
            <w:pPr>
              <w:pStyle w:val="TableContents"/>
              <w:bidi w:val="0"/>
              <w:spacing w:before="0" w:after="283"/>
              <w:jc w:val="right"/>
              <w:rPr/>
            </w:pPr>
            <w:r>
              <w:rPr/>
              <w:t>322</w:t>
            </w:r>
          </w:p>
        </w:tc>
        <w:tc>
          <w:tcPr>
            <w:tcW w:w="90" w:type="dxa"/>
            <w:tcBorders/>
            <w:shd w:fill="CCEEFF" w:val="clear"/>
            <w:vAlign w:val="center"/>
          </w:tcPr>
          <w:p>
            <w:pPr>
              <w:pStyle w:val="TableContents"/>
              <w:bidi w:val="0"/>
              <w:spacing w:before="0" w:after="283"/>
              <w:ind w:left="0" w:right="0" w:hanging="144"/>
              <w:jc w:val="left"/>
              <w:rPr/>
            </w:pPr>
            <w:r>
              <w:rPr/>
              <w:t> </w:t>
            </w:r>
          </w:p>
        </w:tc>
      </w:tr>
      <w:tr>
        <w:trPr/>
        <w:tc>
          <w:tcPr>
            <w:tcW w:w="7716" w:type="dxa"/>
            <w:tcBorders/>
            <w:shd w:fill="FFFFFF" w:val="clear"/>
            <w:vAlign w:val="center"/>
          </w:tcPr>
          <w:p>
            <w:pPr>
              <w:pStyle w:val="TableContents"/>
              <w:bidi w:val="0"/>
              <w:spacing w:before="0" w:after="283"/>
              <w:jc w:val="left"/>
              <w:rPr>
                <w:sz w:val="20"/>
              </w:rPr>
            </w:pPr>
            <w:r>
              <w:rPr>
                <w:sz w:val="20"/>
              </w:rPr>
              <w:t>Inventories</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882" w:type="dxa"/>
            <w:tcBorders/>
            <w:shd w:fill="FFFFFF" w:val="clear"/>
            <w:vAlign w:val="center"/>
          </w:tcPr>
          <w:p>
            <w:pPr>
              <w:pStyle w:val="TableContents"/>
              <w:bidi w:val="0"/>
              <w:spacing w:before="0" w:after="283"/>
              <w:jc w:val="right"/>
              <w:rPr/>
            </w:pPr>
            <w:r>
              <w:rPr/>
              <w:t>20,011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1001" w:type="dxa"/>
            <w:tcBorders/>
            <w:shd w:fill="FFFFFF" w:val="clear"/>
            <w:vAlign w:val="center"/>
          </w:tcPr>
          <w:p>
            <w:pPr>
              <w:pStyle w:val="TableContents"/>
              <w:bidi w:val="0"/>
              <w:spacing w:before="0" w:after="283"/>
              <w:jc w:val="right"/>
              <w:rPr/>
            </w:pPr>
            <w:r>
              <w:rPr/>
              <w:t>16,875</w:t>
            </w:r>
          </w:p>
        </w:tc>
        <w:tc>
          <w:tcPr>
            <w:tcW w:w="90" w:type="dxa"/>
            <w:tcBorders/>
            <w:shd w:fill="FFFFFF" w:val="clear"/>
            <w:vAlign w:val="center"/>
          </w:tcPr>
          <w:p>
            <w:pPr>
              <w:pStyle w:val="TableContents"/>
              <w:bidi w:val="0"/>
              <w:spacing w:before="0" w:after="283"/>
              <w:ind w:left="0" w:right="0" w:hanging="144"/>
              <w:jc w:val="left"/>
              <w:rPr/>
            </w:pPr>
            <w:r>
              <w:rPr/>
              <w:t> </w:t>
            </w:r>
          </w:p>
        </w:tc>
      </w:tr>
      <w:tr>
        <w:trPr/>
        <w:tc>
          <w:tcPr>
            <w:tcW w:w="7716" w:type="dxa"/>
            <w:tcBorders/>
            <w:shd w:fill="CCEEFF" w:val="clear"/>
            <w:vAlign w:val="center"/>
          </w:tcPr>
          <w:p>
            <w:pPr>
              <w:pStyle w:val="TableContents"/>
              <w:bidi w:val="0"/>
              <w:spacing w:before="0" w:after="283"/>
              <w:jc w:val="left"/>
              <w:rPr>
                <w:sz w:val="20"/>
              </w:rPr>
            </w:pPr>
            <w:r>
              <w:rPr>
                <w:sz w:val="20"/>
              </w:rPr>
              <w:t>Prepaid expenses and other current assets</w:t>
            </w:r>
          </w:p>
        </w:tc>
        <w:tc>
          <w:tcPr>
            <w:tcW w:w="60" w:type="dxa"/>
            <w:tcBorders/>
            <w:shd w:fill="CCEEFF" w:val="clear"/>
            <w:vAlign w:val="center"/>
          </w:tcPr>
          <w:p>
            <w:pPr>
              <w:pStyle w:val="TableContents"/>
              <w:bidi w:val="0"/>
              <w:spacing w:before="0" w:after="283"/>
              <w:jc w:val="left"/>
              <w:rPr/>
            </w:pPr>
            <w:r>
              <w:rPr/>
              <w:t> </w:t>
            </w:r>
          </w:p>
        </w:tc>
        <w:tc>
          <w:tcPr>
            <w:tcW w:w="14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82" w:type="dxa"/>
            <w:tcBorders>
              <w:bottom w:val="single" w:sz="8" w:space="0" w:color="000000"/>
            </w:tcBorders>
            <w:shd w:fill="CCEEFF" w:val="clear"/>
            <w:tcMar>
              <w:bottom w:w="28" w:type="dxa"/>
            </w:tcMar>
            <w:vAlign w:val="center"/>
          </w:tcPr>
          <w:p>
            <w:pPr>
              <w:pStyle w:val="TableContents"/>
              <w:bidi w:val="0"/>
              <w:spacing w:before="0" w:after="283"/>
              <w:jc w:val="right"/>
              <w:rPr/>
            </w:pPr>
            <w:r>
              <w:rPr/>
              <w:t>1,176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01" w:type="dxa"/>
            <w:tcBorders>
              <w:bottom w:val="single" w:sz="8" w:space="0" w:color="000000"/>
            </w:tcBorders>
            <w:shd w:fill="CCEEFF" w:val="clear"/>
            <w:tcMar>
              <w:bottom w:w="28" w:type="dxa"/>
            </w:tcMar>
            <w:vAlign w:val="center"/>
          </w:tcPr>
          <w:p>
            <w:pPr>
              <w:pStyle w:val="TableContents"/>
              <w:bidi w:val="0"/>
              <w:spacing w:before="0" w:after="283"/>
              <w:jc w:val="right"/>
              <w:rPr/>
            </w:pPr>
            <w:r>
              <w:rPr/>
              <w:t>2,987</w:t>
            </w:r>
          </w:p>
        </w:tc>
        <w:tc>
          <w:tcPr>
            <w:tcW w:w="90" w:type="dxa"/>
            <w:tcBorders/>
            <w:shd w:fill="CCEEFF" w:val="clear"/>
            <w:vAlign w:val="center"/>
          </w:tcPr>
          <w:p>
            <w:pPr>
              <w:pStyle w:val="TableContents"/>
              <w:bidi w:val="0"/>
              <w:spacing w:before="0" w:after="283"/>
              <w:ind w:left="0" w:right="0" w:hanging="144"/>
              <w:jc w:val="left"/>
              <w:rPr/>
            </w:pPr>
            <w:r>
              <w:rPr/>
              <w:t> </w:t>
            </w:r>
          </w:p>
        </w:tc>
      </w:tr>
      <w:tr>
        <w:trPr/>
        <w:tc>
          <w:tcPr>
            <w:tcW w:w="7716" w:type="dxa"/>
            <w:tcBorders/>
            <w:shd w:fill="FFFFFF" w:val="clear"/>
            <w:vAlign w:val="center"/>
          </w:tcPr>
          <w:p>
            <w:pPr>
              <w:pStyle w:val="TableContents"/>
              <w:bidi w:val="0"/>
              <w:spacing w:before="0" w:after="283"/>
              <w:jc w:val="left"/>
              <w:rPr>
                <w:sz w:val="20"/>
              </w:rPr>
            </w:pPr>
            <w:r>
              <w:rPr>
                <w:sz w:val="20"/>
              </w:rPr>
              <w:t>Total current assets</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882" w:type="dxa"/>
            <w:tcBorders/>
            <w:shd w:fill="FFFFFF" w:val="clear"/>
            <w:vAlign w:val="center"/>
          </w:tcPr>
          <w:p>
            <w:pPr>
              <w:pStyle w:val="TableContents"/>
              <w:bidi w:val="0"/>
              <w:spacing w:before="0" w:after="283"/>
              <w:jc w:val="right"/>
              <w:rPr/>
            </w:pPr>
            <w:r>
              <w:rPr/>
              <w:t>128,990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1001" w:type="dxa"/>
            <w:tcBorders/>
            <w:shd w:fill="FFFFFF" w:val="clear"/>
            <w:vAlign w:val="center"/>
          </w:tcPr>
          <w:p>
            <w:pPr>
              <w:pStyle w:val="TableContents"/>
              <w:bidi w:val="0"/>
              <w:spacing w:before="0" w:after="283"/>
              <w:jc w:val="right"/>
              <w:rPr/>
            </w:pPr>
            <w:r>
              <w:rPr/>
              <w:t>112,747</w:t>
            </w:r>
          </w:p>
        </w:tc>
        <w:tc>
          <w:tcPr>
            <w:tcW w:w="90" w:type="dxa"/>
            <w:tcBorders/>
            <w:shd w:fill="FFFFFF" w:val="clear"/>
            <w:vAlign w:val="center"/>
          </w:tcPr>
          <w:p>
            <w:pPr>
              <w:pStyle w:val="TableContents"/>
              <w:bidi w:val="0"/>
              <w:spacing w:before="0" w:after="283"/>
              <w:ind w:left="0" w:right="0" w:hanging="144"/>
              <w:jc w:val="left"/>
              <w:rPr/>
            </w:pPr>
            <w:r>
              <w:rPr/>
              <w:t> </w:t>
            </w:r>
          </w:p>
        </w:tc>
      </w:tr>
      <w:tr>
        <w:trPr/>
        <w:tc>
          <w:tcPr>
            <w:tcW w:w="7716" w:type="dxa"/>
            <w:tcBorders/>
            <w:shd w:fill="CCEEFF" w:val="clear"/>
            <w:vAlign w:val="center"/>
          </w:tcPr>
          <w:p>
            <w:pPr>
              <w:pStyle w:val="TableContents"/>
              <w:bidi w:val="0"/>
              <w:spacing w:before="0" w:after="283"/>
              <w:jc w:val="left"/>
              <w:rPr>
                <w:sz w:val="20"/>
              </w:rPr>
            </w:pPr>
            <w:r>
              <w:rPr>
                <w:sz w:val="20"/>
              </w:rPr>
              <w:t>Property and equipment, net</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882" w:type="dxa"/>
            <w:tcBorders/>
            <w:shd w:fill="CCEEFF" w:val="clear"/>
            <w:vAlign w:val="center"/>
          </w:tcPr>
          <w:p>
            <w:pPr>
              <w:pStyle w:val="TableContents"/>
              <w:bidi w:val="0"/>
              <w:spacing w:before="0" w:after="283"/>
              <w:jc w:val="right"/>
              <w:rPr/>
            </w:pPr>
            <w:r>
              <w:rPr/>
              <w:t>10,583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 </w:t>
            </w:r>
          </w:p>
        </w:tc>
        <w:tc>
          <w:tcPr>
            <w:tcW w:w="1001" w:type="dxa"/>
            <w:tcBorders/>
            <w:shd w:fill="CCEEFF" w:val="clear"/>
            <w:vAlign w:val="center"/>
          </w:tcPr>
          <w:p>
            <w:pPr>
              <w:pStyle w:val="TableContents"/>
              <w:bidi w:val="0"/>
              <w:spacing w:before="0" w:after="283"/>
              <w:jc w:val="right"/>
              <w:rPr/>
            </w:pPr>
            <w:r>
              <w:rPr/>
              <w:t>10,684</w:t>
            </w:r>
          </w:p>
        </w:tc>
        <w:tc>
          <w:tcPr>
            <w:tcW w:w="90" w:type="dxa"/>
            <w:tcBorders/>
            <w:shd w:fill="CCEEFF" w:val="clear"/>
            <w:vAlign w:val="center"/>
          </w:tcPr>
          <w:p>
            <w:pPr>
              <w:pStyle w:val="TableContents"/>
              <w:bidi w:val="0"/>
              <w:spacing w:before="0" w:after="283"/>
              <w:ind w:left="0" w:right="0" w:hanging="144"/>
              <w:jc w:val="left"/>
              <w:rPr/>
            </w:pPr>
            <w:r>
              <w:rPr/>
              <w:t> </w:t>
            </w:r>
          </w:p>
        </w:tc>
      </w:tr>
      <w:tr>
        <w:trPr/>
        <w:tc>
          <w:tcPr>
            <w:tcW w:w="7716" w:type="dxa"/>
            <w:tcBorders/>
            <w:shd w:fill="FFFFFF" w:val="clear"/>
            <w:vAlign w:val="center"/>
          </w:tcPr>
          <w:p>
            <w:pPr>
              <w:pStyle w:val="TableContents"/>
              <w:bidi w:val="0"/>
              <w:spacing w:before="0" w:after="283"/>
              <w:jc w:val="left"/>
              <w:rPr>
                <w:sz w:val="20"/>
              </w:rPr>
            </w:pPr>
            <w:r>
              <w:rPr>
                <w:sz w:val="20"/>
              </w:rPr>
              <w:t>Operating right of use assets</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882" w:type="dxa"/>
            <w:tcBorders/>
            <w:shd w:fill="FFFFFF" w:val="clear"/>
            <w:vAlign w:val="center"/>
          </w:tcPr>
          <w:p>
            <w:pPr>
              <w:pStyle w:val="TableContents"/>
              <w:bidi w:val="0"/>
              <w:spacing w:before="0" w:after="283"/>
              <w:jc w:val="right"/>
              <w:rPr/>
            </w:pPr>
            <w:r>
              <w:rPr/>
              <w:t>21,188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1001" w:type="dxa"/>
            <w:tcBorders/>
            <w:shd w:fill="FFFFFF" w:val="clear"/>
            <w:vAlign w:val="center"/>
          </w:tcPr>
          <w:p>
            <w:pPr>
              <w:pStyle w:val="TableContents"/>
              <w:bidi w:val="0"/>
              <w:spacing w:before="0" w:after="283"/>
              <w:jc w:val="right"/>
              <w:rPr/>
            </w:pPr>
            <w:r>
              <w:rPr/>
              <w:t>22,374</w:t>
            </w:r>
          </w:p>
        </w:tc>
        <w:tc>
          <w:tcPr>
            <w:tcW w:w="90" w:type="dxa"/>
            <w:tcBorders/>
            <w:shd w:fill="FFFFFF" w:val="clear"/>
            <w:vAlign w:val="center"/>
          </w:tcPr>
          <w:p>
            <w:pPr>
              <w:pStyle w:val="TableContents"/>
              <w:bidi w:val="0"/>
              <w:spacing w:before="0" w:after="283"/>
              <w:ind w:left="0" w:right="0" w:hanging="144"/>
              <w:jc w:val="left"/>
              <w:rPr/>
            </w:pPr>
            <w:r>
              <w:rPr/>
              <w:t> </w:t>
            </w:r>
          </w:p>
        </w:tc>
      </w:tr>
      <w:tr>
        <w:trPr/>
        <w:tc>
          <w:tcPr>
            <w:tcW w:w="7716" w:type="dxa"/>
            <w:tcBorders/>
            <w:shd w:fill="CCEEFF" w:val="clear"/>
            <w:vAlign w:val="center"/>
          </w:tcPr>
          <w:p>
            <w:pPr>
              <w:pStyle w:val="TableContents"/>
              <w:bidi w:val="0"/>
              <w:spacing w:before="0" w:after="283"/>
              <w:jc w:val="left"/>
              <w:rPr>
                <w:sz w:val="20"/>
              </w:rPr>
            </w:pPr>
            <w:r>
              <w:rPr>
                <w:sz w:val="20"/>
              </w:rPr>
              <w:t>Intangible assets, net</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882" w:type="dxa"/>
            <w:tcBorders/>
            <w:shd w:fill="CCEEFF" w:val="clear"/>
            <w:vAlign w:val="center"/>
          </w:tcPr>
          <w:p>
            <w:pPr>
              <w:pStyle w:val="TableContents"/>
              <w:bidi w:val="0"/>
              <w:spacing w:before="0" w:after="283"/>
              <w:jc w:val="right"/>
              <w:rPr/>
            </w:pPr>
            <w:r>
              <w:rPr/>
              <w:t>9,585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 </w:t>
            </w:r>
          </w:p>
        </w:tc>
        <w:tc>
          <w:tcPr>
            <w:tcW w:w="1001" w:type="dxa"/>
            <w:tcBorders/>
            <w:shd w:fill="CCEEFF" w:val="clear"/>
            <w:vAlign w:val="center"/>
          </w:tcPr>
          <w:p>
            <w:pPr>
              <w:pStyle w:val="TableContents"/>
              <w:bidi w:val="0"/>
              <w:spacing w:before="0" w:after="283"/>
              <w:jc w:val="right"/>
              <w:rPr/>
            </w:pPr>
            <w:r>
              <w:rPr/>
              <w:t>11,015</w:t>
            </w:r>
          </w:p>
        </w:tc>
        <w:tc>
          <w:tcPr>
            <w:tcW w:w="90" w:type="dxa"/>
            <w:tcBorders/>
            <w:shd w:fill="CCEEFF" w:val="clear"/>
            <w:vAlign w:val="center"/>
          </w:tcPr>
          <w:p>
            <w:pPr>
              <w:pStyle w:val="TableContents"/>
              <w:bidi w:val="0"/>
              <w:spacing w:before="0" w:after="283"/>
              <w:ind w:left="0" w:right="0" w:hanging="144"/>
              <w:jc w:val="left"/>
              <w:rPr/>
            </w:pPr>
            <w:r>
              <w:rPr/>
              <w:t> </w:t>
            </w:r>
          </w:p>
        </w:tc>
      </w:tr>
      <w:tr>
        <w:trPr/>
        <w:tc>
          <w:tcPr>
            <w:tcW w:w="7716" w:type="dxa"/>
            <w:tcBorders/>
            <w:shd w:fill="FFFFFF" w:val="clear"/>
            <w:vAlign w:val="center"/>
          </w:tcPr>
          <w:p>
            <w:pPr>
              <w:pStyle w:val="TableContents"/>
              <w:bidi w:val="0"/>
              <w:spacing w:before="0" w:after="283"/>
              <w:jc w:val="left"/>
              <w:rPr>
                <w:sz w:val="20"/>
              </w:rPr>
            </w:pPr>
            <w:r>
              <w:rPr>
                <w:sz w:val="20"/>
              </w:rPr>
              <w:t>Goodwill</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882" w:type="dxa"/>
            <w:tcBorders/>
            <w:shd w:fill="FFFFFF" w:val="clear"/>
            <w:vAlign w:val="center"/>
          </w:tcPr>
          <w:p>
            <w:pPr>
              <w:pStyle w:val="TableContents"/>
              <w:bidi w:val="0"/>
              <w:spacing w:before="0" w:after="283"/>
              <w:jc w:val="right"/>
              <w:rPr/>
            </w:pPr>
            <w:r>
              <w:rPr/>
              <w:t>7,230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1001" w:type="dxa"/>
            <w:tcBorders/>
            <w:shd w:fill="FFFFFF" w:val="clear"/>
            <w:vAlign w:val="center"/>
          </w:tcPr>
          <w:p>
            <w:pPr>
              <w:pStyle w:val="TableContents"/>
              <w:bidi w:val="0"/>
              <w:spacing w:before="0" w:after="283"/>
              <w:jc w:val="right"/>
              <w:rPr/>
            </w:pPr>
            <w:r>
              <w:rPr/>
              <w:t>7,230</w:t>
            </w:r>
          </w:p>
        </w:tc>
        <w:tc>
          <w:tcPr>
            <w:tcW w:w="90" w:type="dxa"/>
            <w:tcBorders/>
            <w:shd w:fill="FFFFFF" w:val="clear"/>
            <w:vAlign w:val="center"/>
          </w:tcPr>
          <w:p>
            <w:pPr>
              <w:pStyle w:val="TableContents"/>
              <w:bidi w:val="0"/>
              <w:spacing w:before="0" w:after="283"/>
              <w:ind w:left="0" w:right="0" w:hanging="144"/>
              <w:jc w:val="left"/>
              <w:rPr/>
            </w:pPr>
            <w:r>
              <w:rPr/>
              <w:t> </w:t>
            </w:r>
          </w:p>
        </w:tc>
      </w:tr>
      <w:tr>
        <w:trPr/>
        <w:tc>
          <w:tcPr>
            <w:tcW w:w="7716" w:type="dxa"/>
            <w:tcBorders/>
            <w:shd w:fill="CCEEFF" w:val="clear"/>
            <w:vAlign w:val="center"/>
          </w:tcPr>
          <w:p>
            <w:pPr>
              <w:pStyle w:val="TableContents"/>
              <w:bidi w:val="0"/>
              <w:spacing w:before="0" w:after="283"/>
              <w:jc w:val="left"/>
              <w:rPr>
                <w:sz w:val="20"/>
              </w:rPr>
            </w:pPr>
            <w:r>
              <w:rPr>
                <w:sz w:val="20"/>
              </w:rPr>
              <w:t>Other assets</w:t>
            </w:r>
          </w:p>
        </w:tc>
        <w:tc>
          <w:tcPr>
            <w:tcW w:w="60" w:type="dxa"/>
            <w:tcBorders/>
            <w:shd w:fill="CCEEFF" w:val="clear"/>
            <w:vAlign w:val="center"/>
          </w:tcPr>
          <w:p>
            <w:pPr>
              <w:pStyle w:val="TableContents"/>
              <w:bidi w:val="0"/>
              <w:spacing w:before="0" w:after="283"/>
              <w:jc w:val="left"/>
              <w:rPr/>
            </w:pPr>
            <w:r>
              <w:rPr/>
              <w:t> </w:t>
            </w:r>
          </w:p>
        </w:tc>
        <w:tc>
          <w:tcPr>
            <w:tcW w:w="14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82" w:type="dxa"/>
            <w:tcBorders>
              <w:bottom w:val="single" w:sz="8" w:space="0" w:color="000000"/>
            </w:tcBorders>
            <w:shd w:fill="CCEEFF" w:val="clear"/>
            <w:tcMar>
              <w:bottom w:w="28" w:type="dxa"/>
            </w:tcMar>
            <w:vAlign w:val="center"/>
          </w:tcPr>
          <w:p>
            <w:pPr>
              <w:pStyle w:val="TableContents"/>
              <w:bidi w:val="0"/>
              <w:spacing w:before="0" w:after="283"/>
              <w:jc w:val="right"/>
              <w:rPr/>
            </w:pPr>
            <w:r>
              <w:rPr/>
              <w:t>657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01" w:type="dxa"/>
            <w:tcBorders>
              <w:bottom w:val="single" w:sz="8" w:space="0" w:color="000000"/>
            </w:tcBorders>
            <w:shd w:fill="CCEEFF" w:val="clear"/>
            <w:tcMar>
              <w:bottom w:w="28" w:type="dxa"/>
            </w:tcMar>
            <w:vAlign w:val="center"/>
          </w:tcPr>
          <w:p>
            <w:pPr>
              <w:pStyle w:val="TableContents"/>
              <w:bidi w:val="0"/>
              <w:spacing w:before="0" w:after="283"/>
              <w:jc w:val="right"/>
              <w:rPr/>
            </w:pPr>
            <w:r>
              <w:rPr/>
              <w:t>606</w:t>
            </w:r>
          </w:p>
        </w:tc>
        <w:tc>
          <w:tcPr>
            <w:tcW w:w="90" w:type="dxa"/>
            <w:tcBorders/>
            <w:shd w:fill="CCEEFF" w:val="clear"/>
            <w:vAlign w:val="center"/>
          </w:tcPr>
          <w:p>
            <w:pPr>
              <w:pStyle w:val="TableContents"/>
              <w:bidi w:val="0"/>
              <w:spacing w:before="0" w:after="283"/>
              <w:ind w:left="0" w:right="0" w:hanging="144"/>
              <w:jc w:val="left"/>
              <w:rPr/>
            </w:pPr>
            <w:r>
              <w:rPr/>
              <w:t> </w:t>
            </w:r>
          </w:p>
        </w:tc>
      </w:tr>
      <w:tr>
        <w:trPr/>
        <w:tc>
          <w:tcPr>
            <w:tcW w:w="7716" w:type="dxa"/>
            <w:tcBorders/>
            <w:shd w:fill="FFFFFF" w:val="clear"/>
            <w:vAlign w:val="center"/>
          </w:tcPr>
          <w:p>
            <w:pPr>
              <w:pStyle w:val="TableContents"/>
              <w:bidi w:val="0"/>
              <w:spacing w:before="0" w:after="283"/>
              <w:jc w:val="left"/>
              <w:rPr>
                <w:b/>
                <w:sz w:val="20"/>
              </w:rPr>
            </w:pPr>
            <w:r>
              <w:rPr>
                <w:b/>
                <w:sz w:val="20"/>
              </w:rPr>
              <w:t>Total assets</w:t>
            </w:r>
          </w:p>
        </w:tc>
        <w:tc>
          <w:tcPr>
            <w:tcW w:w="60" w:type="dxa"/>
            <w:tcBorders/>
            <w:shd w:fill="FFFFFF" w:val="clear"/>
            <w:vAlign w:val="center"/>
          </w:tcPr>
          <w:p>
            <w:pPr>
              <w:pStyle w:val="TableContents"/>
              <w:bidi w:val="0"/>
              <w:spacing w:before="0" w:after="283"/>
              <w:jc w:val="left"/>
              <w:rPr/>
            </w:pPr>
            <w:r>
              <w:rPr/>
              <w:t> </w:t>
            </w:r>
          </w:p>
        </w:tc>
        <w:tc>
          <w:tcPr>
            <w:tcW w:w="141"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882" w:type="dxa"/>
            <w:tcBorders>
              <w:bottom w:val="double" w:sz="6" w:space="0" w:color="000000"/>
            </w:tcBorders>
            <w:shd w:fill="FFFFFF" w:val="clear"/>
            <w:tcMar>
              <w:bottom w:w="28" w:type="dxa"/>
            </w:tcMar>
            <w:vAlign w:val="center"/>
          </w:tcPr>
          <w:p>
            <w:pPr>
              <w:pStyle w:val="TableContents"/>
              <w:bidi w:val="0"/>
              <w:spacing w:before="0" w:after="283"/>
              <w:jc w:val="right"/>
              <w:rPr/>
            </w:pPr>
            <w:r>
              <w:rPr/>
              <w:t>178,233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001" w:type="dxa"/>
            <w:tcBorders>
              <w:bottom w:val="double" w:sz="6" w:space="0" w:color="000000"/>
            </w:tcBorders>
            <w:shd w:fill="FFFFFF" w:val="clear"/>
            <w:tcMar>
              <w:bottom w:w="28" w:type="dxa"/>
            </w:tcMar>
            <w:vAlign w:val="center"/>
          </w:tcPr>
          <w:p>
            <w:pPr>
              <w:pStyle w:val="TableContents"/>
              <w:bidi w:val="0"/>
              <w:spacing w:before="0" w:after="283"/>
              <w:jc w:val="right"/>
              <w:rPr/>
            </w:pPr>
            <w:r>
              <w:rPr/>
              <w:t>164,656</w:t>
            </w:r>
          </w:p>
        </w:tc>
        <w:tc>
          <w:tcPr>
            <w:tcW w:w="90" w:type="dxa"/>
            <w:tcBorders/>
            <w:shd w:fill="FFFFFF" w:val="clear"/>
            <w:vAlign w:val="center"/>
          </w:tcPr>
          <w:p>
            <w:pPr>
              <w:pStyle w:val="TableContents"/>
              <w:bidi w:val="0"/>
              <w:spacing w:before="0" w:after="283"/>
              <w:ind w:left="0" w:right="0" w:hanging="144"/>
              <w:jc w:val="left"/>
              <w:rPr/>
            </w:pPr>
            <w:r>
              <w:rPr/>
              <w:t> </w:t>
            </w:r>
          </w:p>
        </w:tc>
      </w:tr>
      <w:tr>
        <w:trPr/>
        <w:tc>
          <w:tcPr>
            <w:tcW w:w="7716" w:type="dxa"/>
            <w:tcBorders/>
            <w:shd w:fill="CCEEFF" w:val="clear"/>
            <w:vAlign w:val="center"/>
          </w:tcPr>
          <w:p>
            <w:pPr>
              <w:pStyle w:val="TableContents"/>
              <w:bidi w:val="0"/>
              <w:spacing w:before="0" w:after="283"/>
              <w:jc w:val="left"/>
              <w:rPr>
                <w:sz w:val="20"/>
              </w:rPr>
            </w:pPr>
            <w:r>
              <w:rPr>
                <w:sz w:val="20"/>
              </w:rPr>
              <w:t>Liabilities and stockholders’ deficit</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882"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 </w:t>
            </w:r>
          </w:p>
        </w:tc>
        <w:tc>
          <w:tcPr>
            <w:tcW w:w="1001"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ind w:left="0" w:right="0" w:hanging="144"/>
              <w:jc w:val="left"/>
              <w:rPr/>
            </w:pPr>
            <w:r>
              <w:rPr/>
              <w:t> </w:t>
            </w:r>
          </w:p>
        </w:tc>
      </w:tr>
      <w:tr>
        <w:trPr/>
        <w:tc>
          <w:tcPr>
            <w:tcW w:w="7716" w:type="dxa"/>
            <w:tcBorders/>
            <w:shd w:fill="FFFFFF" w:val="clear"/>
            <w:vAlign w:val="center"/>
          </w:tcPr>
          <w:p>
            <w:pPr>
              <w:pStyle w:val="TableContents"/>
              <w:bidi w:val="0"/>
              <w:spacing w:before="0" w:after="283"/>
              <w:jc w:val="left"/>
              <w:rPr>
                <w:sz w:val="20"/>
              </w:rPr>
            </w:pPr>
            <w:r>
              <w:rPr>
                <w:sz w:val="20"/>
              </w:rPr>
              <w:t>Current liabilities:</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882"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1001" w:type="dxa"/>
            <w:tcBorders/>
            <w:shd w:fill="FFFFFF" w:val="clear"/>
            <w:vAlign w:val="center"/>
          </w:tcPr>
          <w:p>
            <w:pPr>
              <w:pStyle w:val="TableContents"/>
              <w:bidi w:val="0"/>
              <w:spacing w:before="0" w:after="283"/>
              <w:jc w:val="right"/>
              <w:rPr/>
            </w:pPr>
            <w:r>
              <w:rPr/>
              <w:t> </w:t>
            </w:r>
          </w:p>
        </w:tc>
        <w:tc>
          <w:tcPr>
            <w:tcW w:w="90" w:type="dxa"/>
            <w:tcBorders/>
            <w:shd w:fill="FFFFFF" w:val="clear"/>
            <w:vAlign w:val="center"/>
          </w:tcPr>
          <w:p>
            <w:pPr>
              <w:pStyle w:val="TableContents"/>
              <w:bidi w:val="0"/>
              <w:spacing w:before="0" w:after="283"/>
              <w:ind w:left="0" w:right="0" w:hanging="144"/>
              <w:jc w:val="left"/>
              <w:rPr/>
            </w:pPr>
            <w:r>
              <w:rPr/>
              <w:t> </w:t>
            </w:r>
          </w:p>
        </w:tc>
      </w:tr>
      <w:tr>
        <w:trPr/>
        <w:tc>
          <w:tcPr>
            <w:tcW w:w="7716" w:type="dxa"/>
            <w:tcBorders/>
            <w:shd w:fill="CCEEFF" w:val="clear"/>
            <w:vAlign w:val="center"/>
          </w:tcPr>
          <w:p>
            <w:pPr>
              <w:pStyle w:val="TableContents"/>
              <w:bidi w:val="0"/>
              <w:spacing w:before="0" w:after="283"/>
              <w:jc w:val="left"/>
              <w:rPr>
                <w:sz w:val="20"/>
              </w:rPr>
            </w:pPr>
            <w:r>
              <w:rPr>
                <w:sz w:val="20"/>
              </w:rPr>
              <w:t>Accounts payable</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w:t>
            </w:r>
          </w:p>
        </w:tc>
        <w:tc>
          <w:tcPr>
            <w:tcW w:w="882" w:type="dxa"/>
            <w:tcBorders/>
            <w:shd w:fill="CCEEFF" w:val="clear"/>
            <w:vAlign w:val="center"/>
          </w:tcPr>
          <w:p>
            <w:pPr>
              <w:pStyle w:val="TableContents"/>
              <w:bidi w:val="0"/>
              <w:spacing w:before="0" w:after="283"/>
              <w:jc w:val="right"/>
              <w:rPr/>
            </w:pPr>
            <w:r>
              <w:rPr/>
              <w:t>60,279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w:t>
            </w:r>
          </w:p>
        </w:tc>
        <w:tc>
          <w:tcPr>
            <w:tcW w:w="1001" w:type="dxa"/>
            <w:tcBorders/>
            <w:shd w:fill="CCEEFF" w:val="clear"/>
            <w:vAlign w:val="center"/>
          </w:tcPr>
          <w:p>
            <w:pPr>
              <w:pStyle w:val="TableContents"/>
              <w:bidi w:val="0"/>
              <w:spacing w:before="0" w:after="283"/>
              <w:jc w:val="right"/>
              <w:rPr/>
            </w:pPr>
            <w:r>
              <w:rPr/>
              <w:t>43,167</w:t>
            </w:r>
          </w:p>
        </w:tc>
        <w:tc>
          <w:tcPr>
            <w:tcW w:w="90" w:type="dxa"/>
            <w:tcBorders/>
            <w:shd w:fill="CCEEFF" w:val="clear"/>
            <w:vAlign w:val="center"/>
          </w:tcPr>
          <w:p>
            <w:pPr>
              <w:pStyle w:val="TableContents"/>
              <w:bidi w:val="0"/>
              <w:spacing w:before="0" w:after="283"/>
              <w:ind w:left="0" w:right="0" w:hanging="144"/>
              <w:jc w:val="left"/>
              <w:rPr/>
            </w:pPr>
            <w:r>
              <w:rPr/>
              <w:t> </w:t>
            </w:r>
          </w:p>
        </w:tc>
      </w:tr>
      <w:tr>
        <w:trPr/>
        <w:tc>
          <w:tcPr>
            <w:tcW w:w="7716" w:type="dxa"/>
            <w:tcBorders/>
            <w:shd w:fill="FFFFFF" w:val="clear"/>
            <w:vAlign w:val="center"/>
          </w:tcPr>
          <w:p>
            <w:pPr>
              <w:pStyle w:val="TableContents"/>
              <w:bidi w:val="0"/>
              <w:spacing w:before="0" w:after="283"/>
              <w:jc w:val="left"/>
              <w:rPr>
                <w:sz w:val="20"/>
              </w:rPr>
            </w:pPr>
            <w:r>
              <w:rPr>
                <w:sz w:val="20"/>
              </w:rPr>
              <w:t>Current portion of operating lease liabilities</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882" w:type="dxa"/>
            <w:tcBorders/>
            <w:shd w:fill="FFFFFF" w:val="clear"/>
            <w:vAlign w:val="center"/>
          </w:tcPr>
          <w:p>
            <w:pPr>
              <w:pStyle w:val="TableContents"/>
              <w:bidi w:val="0"/>
              <w:spacing w:before="0" w:after="283"/>
              <w:jc w:val="right"/>
              <w:rPr/>
            </w:pPr>
            <w:r>
              <w:rPr/>
              <w:t>7,225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1001" w:type="dxa"/>
            <w:tcBorders/>
            <w:shd w:fill="FFFFFF" w:val="clear"/>
            <w:vAlign w:val="center"/>
          </w:tcPr>
          <w:p>
            <w:pPr>
              <w:pStyle w:val="TableContents"/>
              <w:bidi w:val="0"/>
              <w:spacing w:before="0" w:after="283"/>
              <w:jc w:val="right"/>
              <w:rPr/>
            </w:pPr>
            <w:r>
              <w:rPr/>
              <w:t>7,156</w:t>
            </w:r>
          </w:p>
        </w:tc>
        <w:tc>
          <w:tcPr>
            <w:tcW w:w="90" w:type="dxa"/>
            <w:tcBorders/>
            <w:shd w:fill="FFFFFF" w:val="clear"/>
            <w:vAlign w:val="center"/>
          </w:tcPr>
          <w:p>
            <w:pPr>
              <w:pStyle w:val="TableContents"/>
              <w:bidi w:val="0"/>
              <w:spacing w:before="0" w:after="283"/>
              <w:ind w:left="0" w:right="0" w:hanging="144"/>
              <w:jc w:val="left"/>
              <w:rPr/>
            </w:pPr>
            <w:r>
              <w:rPr/>
              <w:t> </w:t>
            </w:r>
          </w:p>
        </w:tc>
      </w:tr>
      <w:tr>
        <w:trPr/>
        <w:tc>
          <w:tcPr>
            <w:tcW w:w="7716" w:type="dxa"/>
            <w:tcBorders/>
            <w:shd w:fill="CCEEFF" w:val="clear"/>
            <w:vAlign w:val="center"/>
          </w:tcPr>
          <w:p>
            <w:pPr>
              <w:pStyle w:val="TableContents"/>
              <w:bidi w:val="0"/>
              <w:spacing w:before="0" w:after="283"/>
              <w:jc w:val="left"/>
              <w:rPr>
                <w:sz w:val="20"/>
              </w:rPr>
            </w:pPr>
            <w:r>
              <w:rPr>
                <w:sz w:val="20"/>
              </w:rPr>
              <w:t>Accrued expenses and other current liabilities</w:t>
            </w:r>
          </w:p>
        </w:tc>
        <w:tc>
          <w:tcPr>
            <w:tcW w:w="60" w:type="dxa"/>
            <w:tcBorders/>
            <w:shd w:fill="CCEEFF" w:val="clear"/>
            <w:vAlign w:val="center"/>
          </w:tcPr>
          <w:p>
            <w:pPr>
              <w:pStyle w:val="TableContents"/>
              <w:bidi w:val="0"/>
              <w:spacing w:before="0" w:after="283"/>
              <w:jc w:val="left"/>
              <w:rPr/>
            </w:pPr>
            <w:r>
              <w:rPr/>
              <w:t> </w:t>
            </w:r>
          </w:p>
        </w:tc>
        <w:tc>
          <w:tcPr>
            <w:tcW w:w="14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82" w:type="dxa"/>
            <w:tcBorders>
              <w:bottom w:val="single" w:sz="8" w:space="0" w:color="000000"/>
            </w:tcBorders>
            <w:shd w:fill="CCEEFF" w:val="clear"/>
            <w:tcMar>
              <w:bottom w:w="28" w:type="dxa"/>
            </w:tcMar>
            <w:vAlign w:val="center"/>
          </w:tcPr>
          <w:p>
            <w:pPr>
              <w:pStyle w:val="TableContents"/>
              <w:bidi w:val="0"/>
              <w:spacing w:before="0" w:after="283"/>
              <w:jc w:val="right"/>
              <w:rPr/>
            </w:pPr>
            <w:r>
              <w:rPr/>
              <w:t>27,435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01" w:type="dxa"/>
            <w:tcBorders>
              <w:bottom w:val="single" w:sz="8" w:space="0" w:color="000000"/>
            </w:tcBorders>
            <w:shd w:fill="CCEEFF" w:val="clear"/>
            <w:tcMar>
              <w:bottom w:w="28" w:type="dxa"/>
            </w:tcMar>
            <w:vAlign w:val="center"/>
          </w:tcPr>
          <w:p>
            <w:pPr>
              <w:pStyle w:val="TableContents"/>
              <w:bidi w:val="0"/>
              <w:spacing w:before="0" w:after="283"/>
              <w:jc w:val="right"/>
              <w:rPr/>
            </w:pPr>
            <w:r>
              <w:rPr/>
              <w:t>20,639</w:t>
            </w:r>
          </w:p>
        </w:tc>
        <w:tc>
          <w:tcPr>
            <w:tcW w:w="90" w:type="dxa"/>
            <w:tcBorders/>
            <w:shd w:fill="CCEEFF" w:val="clear"/>
            <w:vAlign w:val="center"/>
          </w:tcPr>
          <w:p>
            <w:pPr>
              <w:pStyle w:val="TableContents"/>
              <w:bidi w:val="0"/>
              <w:spacing w:before="0" w:after="283"/>
              <w:ind w:left="0" w:right="0" w:hanging="144"/>
              <w:jc w:val="left"/>
              <w:rPr/>
            </w:pPr>
            <w:r>
              <w:rPr/>
              <w:t> </w:t>
            </w:r>
          </w:p>
        </w:tc>
      </w:tr>
      <w:tr>
        <w:trPr/>
        <w:tc>
          <w:tcPr>
            <w:tcW w:w="7716" w:type="dxa"/>
            <w:tcBorders/>
            <w:shd w:fill="FFFFFF" w:val="clear"/>
            <w:vAlign w:val="center"/>
          </w:tcPr>
          <w:p>
            <w:pPr>
              <w:pStyle w:val="TableContents"/>
              <w:bidi w:val="0"/>
              <w:spacing w:before="0" w:after="283"/>
              <w:jc w:val="left"/>
              <w:rPr>
                <w:sz w:val="20"/>
              </w:rPr>
            </w:pPr>
            <w:r>
              <w:rPr>
                <w:sz w:val="20"/>
              </w:rPr>
              <w:t>Total current liabilities</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882" w:type="dxa"/>
            <w:tcBorders/>
            <w:shd w:fill="FFFFFF" w:val="clear"/>
            <w:vAlign w:val="center"/>
          </w:tcPr>
          <w:p>
            <w:pPr>
              <w:pStyle w:val="TableContents"/>
              <w:bidi w:val="0"/>
              <w:spacing w:before="0" w:after="283"/>
              <w:jc w:val="right"/>
              <w:rPr/>
            </w:pPr>
            <w:r>
              <w:rPr/>
              <w:t>94,939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1001" w:type="dxa"/>
            <w:tcBorders/>
            <w:shd w:fill="FFFFFF" w:val="clear"/>
            <w:vAlign w:val="center"/>
          </w:tcPr>
          <w:p>
            <w:pPr>
              <w:pStyle w:val="TableContents"/>
              <w:bidi w:val="0"/>
              <w:spacing w:before="0" w:after="283"/>
              <w:jc w:val="right"/>
              <w:rPr/>
            </w:pPr>
            <w:r>
              <w:rPr/>
              <w:t>70,962</w:t>
            </w:r>
          </w:p>
        </w:tc>
        <w:tc>
          <w:tcPr>
            <w:tcW w:w="90" w:type="dxa"/>
            <w:tcBorders/>
            <w:shd w:fill="FFFFFF" w:val="clear"/>
            <w:vAlign w:val="center"/>
          </w:tcPr>
          <w:p>
            <w:pPr>
              <w:pStyle w:val="TableContents"/>
              <w:bidi w:val="0"/>
              <w:spacing w:before="0" w:after="283"/>
              <w:ind w:left="0" w:right="0" w:hanging="144"/>
              <w:jc w:val="left"/>
              <w:rPr/>
            </w:pPr>
            <w:r>
              <w:rPr/>
              <w:t> </w:t>
            </w:r>
          </w:p>
        </w:tc>
      </w:tr>
      <w:tr>
        <w:trPr/>
        <w:tc>
          <w:tcPr>
            <w:tcW w:w="7716" w:type="dxa"/>
            <w:tcBorders/>
            <w:shd w:fill="CCEEFF" w:val="clear"/>
            <w:vAlign w:val="center"/>
          </w:tcPr>
          <w:p>
            <w:pPr>
              <w:pStyle w:val="TableContents"/>
              <w:bidi w:val="0"/>
              <w:spacing w:before="0" w:after="283"/>
              <w:jc w:val="left"/>
              <w:rPr>
                <w:sz w:val="20"/>
              </w:rPr>
            </w:pPr>
            <w:r>
              <w:rPr>
                <w:sz w:val="20"/>
              </w:rPr>
              <w:t>Operating lease liabilities</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882" w:type="dxa"/>
            <w:tcBorders/>
            <w:shd w:fill="CCEEFF" w:val="clear"/>
            <w:vAlign w:val="center"/>
          </w:tcPr>
          <w:p>
            <w:pPr>
              <w:pStyle w:val="TableContents"/>
              <w:bidi w:val="0"/>
              <w:spacing w:before="0" w:after="283"/>
              <w:jc w:val="right"/>
              <w:rPr/>
            </w:pPr>
            <w:r>
              <w:rPr/>
              <w:t>17,384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 </w:t>
            </w:r>
          </w:p>
        </w:tc>
        <w:tc>
          <w:tcPr>
            <w:tcW w:w="1001" w:type="dxa"/>
            <w:tcBorders/>
            <w:shd w:fill="CCEEFF" w:val="clear"/>
            <w:vAlign w:val="center"/>
          </w:tcPr>
          <w:p>
            <w:pPr>
              <w:pStyle w:val="TableContents"/>
              <w:bidi w:val="0"/>
              <w:spacing w:before="0" w:after="283"/>
              <w:jc w:val="right"/>
              <w:rPr/>
            </w:pPr>
            <w:r>
              <w:rPr/>
              <w:t>19,131</w:t>
            </w:r>
          </w:p>
        </w:tc>
        <w:tc>
          <w:tcPr>
            <w:tcW w:w="90" w:type="dxa"/>
            <w:tcBorders/>
            <w:shd w:fill="CCEEFF" w:val="clear"/>
            <w:vAlign w:val="center"/>
          </w:tcPr>
          <w:p>
            <w:pPr>
              <w:pStyle w:val="TableContents"/>
              <w:bidi w:val="0"/>
              <w:spacing w:before="0" w:after="283"/>
              <w:ind w:left="0" w:right="0" w:hanging="144"/>
              <w:jc w:val="left"/>
              <w:rPr/>
            </w:pPr>
            <w:r>
              <w:rPr/>
              <w:t> </w:t>
            </w:r>
          </w:p>
        </w:tc>
      </w:tr>
      <w:tr>
        <w:trPr/>
        <w:tc>
          <w:tcPr>
            <w:tcW w:w="7716" w:type="dxa"/>
            <w:tcBorders/>
            <w:shd w:fill="FFFFFF" w:val="clear"/>
            <w:vAlign w:val="center"/>
          </w:tcPr>
          <w:p>
            <w:pPr>
              <w:pStyle w:val="TableContents"/>
              <w:bidi w:val="0"/>
              <w:spacing w:before="0" w:after="283"/>
              <w:jc w:val="left"/>
              <w:rPr>
                <w:sz w:val="20"/>
              </w:rPr>
            </w:pPr>
            <w:r>
              <w:rPr>
                <w:sz w:val="20"/>
              </w:rPr>
              <w:t>Derivative warrant liabilities</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882" w:type="dxa"/>
            <w:tcBorders/>
            <w:shd w:fill="FFFFFF" w:val="clear"/>
            <w:vAlign w:val="center"/>
          </w:tcPr>
          <w:p>
            <w:pPr>
              <w:pStyle w:val="TableContents"/>
              <w:bidi w:val="0"/>
              <w:spacing w:before="0" w:after="283"/>
              <w:jc w:val="right"/>
              <w:rPr/>
            </w:pPr>
            <w:r>
              <w:rPr/>
              <w:t>89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1001" w:type="dxa"/>
            <w:tcBorders/>
            <w:shd w:fill="FFFFFF" w:val="clear"/>
            <w:vAlign w:val="center"/>
          </w:tcPr>
          <w:p>
            <w:pPr>
              <w:pStyle w:val="TableContents"/>
              <w:bidi w:val="0"/>
              <w:spacing w:before="0" w:after="283"/>
              <w:jc w:val="right"/>
              <w:rPr/>
            </w:pPr>
            <w:r>
              <w:rPr/>
              <w:t>264</w:t>
            </w:r>
          </w:p>
        </w:tc>
        <w:tc>
          <w:tcPr>
            <w:tcW w:w="90" w:type="dxa"/>
            <w:tcBorders/>
            <w:shd w:fill="FFFFFF" w:val="clear"/>
            <w:vAlign w:val="center"/>
          </w:tcPr>
          <w:p>
            <w:pPr>
              <w:pStyle w:val="TableContents"/>
              <w:bidi w:val="0"/>
              <w:spacing w:before="0" w:after="283"/>
              <w:ind w:left="0" w:right="0" w:hanging="144"/>
              <w:jc w:val="left"/>
              <w:rPr/>
            </w:pPr>
            <w:r>
              <w:rPr/>
              <w:t> </w:t>
            </w:r>
          </w:p>
        </w:tc>
      </w:tr>
      <w:tr>
        <w:trPr/>
        <w:tc>
          <w:tcPr>
            <w:tcW w:w="7716" w:type="dxa"/>
            <w:tcBorders/>
            <w:shd w:fill="CCEEFF" w:val="clear"/>
            <w:vAlign w:val="center"/>
          </w:tcPr>
          <w:p>
            <w:pPr>
              <w:pStyle w:val="TableContents"/>
              <w:bidi w:val="0"/>
              <w:spacing w:before="0" w:after="283"/>
              <w:jc w:val="left"/>
              <w:rPr>
                <w:sz w:val="20"/>
              </w:rPr>
            </w:pPr>
            <w:r>
              <w:rPr>
                <w:sz w:val="20"/>
              </w:rPr>
              <w:t>Derivative liabilities</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882" w:type="dxa"/>
            <w:tcBorders/>
            <w:shd w:fill="CCEEFF" w:val="clear"/>
            <w:vAlign w:val="center"/>
          </w:tcPr>
          <w:p>
            <w:pPr>
              <w:pStyle w:val="TableContents"/>
              <w:bidi w:val="0"/>
              <w:spacing w:before="0" w:after="283"/>
              <w:jc w:val="right"/>
              <w:rPr/>
            </w:pPr>
            <w:r>
              <w:rPr/>
              <w:t>10,838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 </w:t>
            </w:r>
          </w:p>
        </w:tc>
        <w:tc>
          <w:tcPr>
            <w:tcW w:w="1001" w:type="dxa"/>
            <w:tcBorders/>
            <w:shd w:fill="CCEEFF" w:val="clear"/>
            <w:vAlign w:val="center"/>
          </w:tcPr>
          <w:p>
            <w:pPr>
              <w:pStyle w:val="TableContents"/>
              <w:bidi w:val="0"/>
              <w:spacing w:before="0" w:after="283"/>
              <w:jc w:val="right"/>
              <w:rPr/>
            </w:pPr>
            <w:r>
              <w:rPr/>
              <w:t>12,591</w:t>
            </w:r>
          </w:p>
        </w:tc>
        <w:tc>
          <w:tcPr>
            <w:tcW w:w="90" w:type="dxa"/>
            <w:tcBorders/>
            <w:shd w:fill="CCEEFF" w:val="clear"/>
            <w:vAlign w:val="center"/>
          </w:tcPr>
          <w:p>
            <w:pPr>
              <w:pStyle w:val="TableContents"/>
              <w:bidi w:val="0"/>
              <w:spacing w:before="0" w:after="283"/>
              <w:ind w:left="0" w:right="0" w:hanging="144"/>
              <w:jc w:val="left"/>
              <w:rPr/>
            </w:pPr>
            <w:r>
              <w:rPr/>
              <w:t> </w:t>
            </w:r>
          </w:p>
        </w:tc>
      </w:tr>
      <w:tr>
        <w:trPr/>
        <w:tc>
          <w:tcPr>
            <w:tcW w:w="7716" w:type="dxa"/>
            <w:tcBorders/>
            <w:shd w:fill="FFFFFF" w:val="clear"/>
            <w:vAlign w:val="center"/>
          </w:tcPr>
          <w:p>
            <w:pPr>
              <w:pStyle w:val="TableContents"/>
              <w:bidi w:val="0"/>
              <w:spacing w:before="0" w:after="283"/>
              <w:jc w:val="left"/>
              <w:rPr>
                <w:sz w:val="20"/>
              </w:rPr>
            </w:pPr>
            <w:r>
              <w:rPr>
                <w:sz w:val="20"/>
              </w:rPr>
              <w:t>Long-term debt, net of unamortized debt issuance costs</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882" w:type="dxa"/>
            <w:tcBorders/>
            <w:shd w:fill="FFFFFF" w:val="clear"/>
            <w:vAlign w:val="center"/>
          </w:tcPr>
          <w:p>
            <w:pPr>
              <w:pStyle w:val="TableContents"/>
              <w:bidi w:val="0"/>
              <w:spacing w:before="0" w:after="283"/>
              <w:jc w:val="right"/>
              <w:rPr/>
            </w:pPr>
            <w:r>
              <w:rPr/>
              <w:t>79,867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1001" w:type="dxa"/>
            <w:tcBorders/>
            <w:shd w:fill="FFFFFF" w:val="clear"/>
            <w:vAlign w:val="center"/>
          </w:tcPr>
          <w:p>
            <w:pPr>
              <w:pStyle w:val="TableContents"/>
              <w:bidi w:val="0"/>
              <w:spacing w:before="0" w:after="283"/>
              <w:jc w:val="right"/>
              <w:rPr/>
            </w:pPr>
            <w:r>
              <w:rPr/>
              <w:t>77,400</w:t>
            </w:r>
          </w:p>
        </w:tc>
        <w:tc>
          <w:tcPr>
            <w:tcW w:w="90" w:type="dxa"/>
            <w:tcBorders/>
            <w:shd w:fill="FFFFFF" w:val="clear"/>
            <w:vAlign w:val="center"/>
          </w:tcPr>
          <w:p>
            <w:pPr>
              <w:pStyle w:val="TableContents"/>
              <w:bidi w:val="0"/>
              <w:spacing w:before="0" w:after="283"/>
              <w:ind w:left="0" w:right="0" w:hanging="144"/>
              <w:jc w:val="left"/>
              <w:rPr/>
            </w:pPr>
            <w:r>
              <w:rPr/>
              <w:t> </w:t>
            </w:r>
          </w:p>
        </w:tc>
      </w:tr>
      <w:tr>
        <w:trPr/>
        <w:tc>
          <w:tcPr>
            <w:tcW w:w="7716" w:type="dxa"/>
            <w:tcBorders/>
            <w:shd w:fill="CCEEFF" w:val="clear"/>
            <w:vAlign w:val="center"/>
          </w:tcPr>
          <w:p>
            <w:pPr>
              <w:pStyle w:val="TableContents"/>
              <w:bidi w:val="0"/>
              <w:spacing w:before="0" w:after="283"/>
              <w:jc w:val="left"/>
              <w:rPr>
                <w:sz w:val="20"/>
              </w:rPr>
            </w:pPr>
            <w:r>
              <w:rPr>
                <w:sz w:val="20"/>
              </w:rPr>
              <w:t>Other non-current liabilities</w:t>
            </w:r>
          </w:p>
        </w:tc>
        <w:tc>
          <w:tcPr>
            <w:tcW w:w="60" w:type="dxa"/>
            <w:tcBorders/>
            <w:shd w:fill="CCEEFF" w:val="clear"/>
            <w:vAlign w:val="center"/>
          </w:tcPr>
          <w:p>
            <w:pPr>
              <w:pStyle w:val="TableContents"/>
              <w:bidi w:val="0"/>
              <w:spacing w:before="0" w:after="283"/>
              <w:jc w:val="left"/>
              <w:rPr/>
            </w:pPr>
            <w:r>
              <w:rPr/>
              <w:t> </w:t>
            </w:r>
          </w:p>
        </w:tc>
        <w:tc>
          <w:tcPr>
            <w:tcW w:w="14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82" w:type="dxa"/>
            <w:tcBorders>
              <w:bottom w:val="single" w:sz="8" w:space="0" w:color="000000"/>
            </w:tcBorders>
            <w:shd w:fill="CCEEFF" w:val="clear"/>
            <w:tcMar>
              <w:bottom w:w="28" w:type="dxa"/>
            </w:tcMar>
            <w:vAlign w:val="center"/>
          </w:tcPr>
          <w:p>
            <w:pPr>
              <w:pStyle w:val="TableContents"/>
              <w:bidi w:val="0"/>
              <w:spacing w:before="0" w:after="283"/>
              <w:jc w:val="right"/>
              <w:rPr/>
            </w:pPr>
            <w:r>
              <w:rPr/>
              <w:t>30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01" w:type="dxa"/>
            <w:tcBorders>
              <w:bottom w:val="single" w:sz="8" w:space="0" w:color="000000"/>
            </w:tcBorders>
            <w:shd w:fill="CCEEFF" w:val="clear"/>
            <w:tcMar>
              <w:bottom w:w="28" w:type="dxa"/>
            </w:tcMar>
            <w:vAlign w:val="center"/>
          </w:tcPr>
          <w:p>
            <w:pPr>
              <w:pStyle w:val="TableContents"/>
              <w:bidi w:val="0"/>
              <w:spacing w:before="0" w:after="283"/>
              <w:jc w:val="right"/>
              <w:rPr/>
            </w:pPr>
            <w:r>
              <w:rPr/>
              <w:t>28</w:t>
            </w:r>
          </w:p>
        </w:tc>
        <w:tc>
          <w:tcPr>
            <w:tcW w:w="90" w:type="dxa"/>
            <w:tcBorders/>
            <w:shd w:fill="CCEEFF" w:val="clear"/>
            <w:vAlign w:val="center"/>
          </w:tcPr>
          <w:p>
            <w:pPr>
              <w:pStyle w:val="TableContents"/>
              <w:bidi w:val="0"/>
              <w:spacing w:before="0" w:after="283"/>
              <w:ind w:left="0" w:right="0" w:hanging="144"/>
              <w:jc w:val="left"/>
              <w:rPr/>
            </w:pPr>
            <w:r>
              <w:rPr/>
              <w:t> </w:t>
            </w:r>
          </w:p>
        </w:tc>
      </w:tr>
      <w:tr>
        <w:trPr/>
        <w:tc>
          <w:tcPr>
            <w:tcW w:w="7716" w:type="dxa"/>
            <w:tcBorders/>
            <w:shd w:fill="FFFFFF" w:val="clear"/>
            <w:vAlign w:val="center"/>
          </w:tcPr>
          <w:p>
            <w:pPr>
              <w:pStyle w:val="TableContents"/>
              <w:bidi w:val="0"/>
              <w:spacing w:before="0" w:after="283"/>
              <w:jc w:val="left"/>
              <w:rPr>
                <w:b/>
                <w:sz w:val="20"/>
              </w:rPr>
            </w:pPr>
            <w:r>
              <w:rPr>
                <w:b/>
                <w:sz w:val="20"/>
              </w:rPr>
              <w:t>Total liabilities</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882" w:type="dxa"/>
            <w:tcBorders/>
            <w:shd w:fill="FFFFFF" w:val="clear"/>
            <w:vAlign w:val="center"/>
          </w:tcPr>
          <w:p>
            <w:pPr>
              <w:pStyle w:val="TableContents"/>
              <w:bidi w:val="0"/>
              <w:spacing w:before="0" w:after="283"/>
              <w:jc w:val="right"/>
              <w:rPr/>
            </w:pPr>
            <w:r>
              <w:rPr/>
              <w:t>203,147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1001" w:type="dxa"/>
            <w:tcBorders/>
            <w:shd w:fill="FFFFFF" w:val="clear"/>
            <w:vAlign w:val="center"/>
          </w:tcPr>
          <w:p>
            <w:pPr>
              <w:pStyle w:val="TableContents"/>
              <w:bidi w:val="0"/>
              <w:spacing w:before="0" w:after="283"/>
              <w:jc w:val="right"/>
              <w:rPr/>
            </w:pPr>
            <w:r>
              <w:rPr/>
              <w:t>180,376</w:t>
            </w:r>
          </w:p>
        </w:tc>
        <w:tc>
          <w:tcPr>
            <w:tcW w:w="90" w:type="dxa"/>
            <w:tcBorders/>
            <w:shd w:fill="FFFFFF" w:val="clear"/>
            <w:vAlign w:val="center"/>
          </w:tcPr>
          <w:p>
            <w:pPr>
              <w:pStyle w:val="TableContents"/>
              <w:bidi w:val="0"/>
              <w:spacing w:before="0" w:after="283"/>
              <w:ind w:left="0" w:right="0" w:hanging="144"/>
              <w:jc w:val="left"/>
              <w:rPr/>
            </w:pPr>
            <w:r>
              <w:rPr/>
              <w:t> </w:t>
            </w:r>
          </w:p>
        </w:tc>
      </w:tr>
      <w:tr>
        <w:trPr/>
        <w:tc>
          <w:tcPr>
            <w:tcW w:w="7716" w:type="dxa"/>
            <w:tcBorders/>
            <w:shd w:fill="CCEEFF" w:val="clear"/>
            <w:vAlign w:val="center"/>
          </w:tcPr>
          <w:p>
            <w:pPr>
              <w:pStyle w:val="TableContents"/>
              <w:bidi w:val="0"/>
              <w:spacing w:before="0" w:after="283"/>
              <w:jc w:val="left"/>
              <w:rPr>
                <w:sz w:val="20"/>
              </w:rPr>
            </w:pPr>
            <w:r>
              <w:rPr>
                <w:sz w:val="20"/>
              </w:rPr>
              <w:t>Stockholders’ deficit:</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882"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 </w:t>
            </w:r>
          </w:p>
        </w:tc>
        <w:tc>
          <w:tcPr>
            <w:tcW w:w="1001"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r>
      <w:tr>
        <w:trPr/>
        <w:tc>
          <w:tcPr>
            <w:tcW w:w="7716" w:type="dxa"/>
            <w:tcBorders/>
            <w:shd w:fill="FFFFFF" w:val="clear"/>
            <w:vAlign w:val="center"/>
          </w:tcPr>
          <w:p>
            <w:pPr>
              <w:pStyle w:val="TableContents"/>
              <w:bidi w:val="0"/>
              <w:spacing w:lineRule="auto" w:line="273" w:before="0" w:after="283"/>
              <w:jc w:val="left"/>
              <w:rPr>
                <w:sz w:val="20"/>
              </w:rPr>
            </w:pPr>
            <w:r>
              <w:rPr>
                <w:sz w:val="20"/>
              </w:rPr>
              <w:t xml:space="preserve">Common Stock, 0.0001 par value, authorized 500,000,000 shares; 102,202,753 and 100,468,979 shares issued and outstanding at June 30, 2026 and </w:t>
            </w:r>
            <w:r>
              <w:rPr>
                <w:color w:val="231F20"/>
                <w:sz w:val="20"/>
              </w:rPr>
              <w:t>100,596,918</w:t>
            </w:r>
            <w:r>
              <w:rPr>
                <w:sz w:val="20"/>
              </w:rPr>
              <w:t xml:space="preserve"> shares issued and 98,863,144 shares outstanding at December 31, 2025</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882" w:type="dxa"/>
            <w:tcBorders/>
            <w:shd w:fill="FFFFFF" w:val="clear"/>
            <w:vAlign w:val="center"/>
          </w:tcPr>
          <w:p>
            <w:pPr>
              <w:pStyle w:val="TableContents"/>
              <w:bidi w:val="0"/>
              <w:spacing w:before="0" w:after="283"/>
              <w:jc w:val="right"/>
              <w:rPr/>
            </w:pPr>
            <w:r>
              <w:rPr/>
              <w:t>10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1001" w:type="dxa"/>
            <w:tcBorders/>
            <w:shd w:fill="FFFFFF" w:val="clear"/>
            <w:vAlign w:val="center"/>
          </w:tcPr>
          <w:p>
            <w:pPr>
              <w:pStyle w:val="TableContents"/>
              <w:bidi w:val="0"/>
              <w:spacing w:before="0" w:after="283"/>
              <w:jc w:val="right"/>
              <w:rPr/>
            </w:pPr>
            <w:r>
              <w:rPr/>
              <w:t>10</w:t>
            </w:r>
          </w:p>
        </w:tc>
        <w:tc>
          <w:tcPr>
            <w:tcW w:w="90" w:type="dxa"/>
            <w:tcBorders/>
            <w:shd w:fill="FFFFFF" w:val="clear"/>
            <w:vAlign w:val="center"/>
          </w:tcPr>
          <w:p>
            <w:pPr>
              <w:pStyle w:val="TableContents"/>
              <w:bidi w:val="0"/>
              <w:spacing w:before="0" w:after="283"/>
              <w:jc w:val="left"/>
              <w:rPr/>
            </w:pPr>
            <w:r>
              <w:rPr/>
              <w:t> </w:t>
            </w:r>
          </w:p>
        </w:tc>
      </w:tr>
      <w:tr>
        <w:trPr/>
        <w:tc>
          <w:tcPr>
            <w:tcW w:w="7716" w:type="dxa"/>
            <w:tcBorders/>
            <w:shd w:fill="CCEEFF" w:val="clear"/>
            <w:vAlign w:val="center"/>
          </w:tcPr>
          <w:p>
            <w:pPr>
              <w:pStyle w:val="TableContents"/>
              <w:bidi w:val="0"/>
              <w:spacing w:before="0" w:after="283"/>
              <w:jc w:val="left"/>
              <w:rPr>
                <w:sz w:val="20"/>
              </w:rPr>
            </w:pPr>
            <w:r>
              <w:rPr>
                <w:sz w:val="20"/>
              </w:rPr>
              <w:t>Series A Convertible Preferred Stock, 0.0001 par value, authorized 10,000,000 shares; 193,507 shares issued and outstanding at June 30, 2026 and 193,507 shares issued and outstanding at December 31, 2025</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882"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 </w:t>
            </w:r>
          </w:p>
        </w:tc>
        <w:tc>
          <w:tcPr>
            <w:tcW w:w="1001"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ind w:left="0" w:right="0" w:hanging="144"/>
              <w:jc w:val="left"/>
              <w:rPr/>
            </w:pPr>
            <w:r>
              <w:rPr/>
              <w:t> </w:t>
            </w:r>
          </w:p>
        </w:tc>
      </w:tr>
      <w:tr>
        <w:trPr/>
        <w:tc>
          <w:tcPr>
            <w:tcW w:w="7716" w:type="dxa"/>
            <w:tcBorders/>
            <w:shd w:fill="FFFFFF" w:val="clear"/>
            <w:vAlign w:val="center"/>
          </w:tcPr>
          <w:p>
            <w:pPr>
              <w:pStyle w:val="TableContents"/>
              <w:bidi w:val="0"/>
              <w:spacing w:before="0" w:after="283"/>
              <w:jc w:val="left"/>
              <w:rPr>
                <w:sz w:val="20"/>
              </w:rPr>
            </w:pPr>
            <w:r>
              <w:rPr>
                <w:sz w:val="20"/>
              </w:rPr>
              <w:t>Additional paid-in capital</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882" w:type="dxa"/>
            <w:tcBorders/>
            <w:shd w:fill="FFFFFF" w:val="clear"/>
            <w:vAlign w:val="center"/>
          </w:tcPr>
          <w:p>
            <w:pPr>
              <w:pStyle w:val="TableContents"/>
              <w:bidi w:val="0"/>
              <w:spacing w:before="0" w:after="283"/>
              <w:jc w:val="right"/>
              <w:rPr/>
            </w:pPr>
            <w:r>
              <w:rPr/>
              <w:t>259,795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1001" w:type="dxa"/>
            <w:tcBorders/>
            <w:shd w:fill="FFFFFF" w:val="clear"/>
            <w:vAlign w:val="center"/>
          </w:tcPr>
          <w:p>
            <w:pPr>
              <w:pStyle w:val="TableContents"/>
              <w:bidi w:val="0"/>
              <w:spacing w:before="0" w:after="283"/>
              <w:jc w:val="right"/>
              <w:rPr/>
            </w:pPr>
            <w:r>
              <w:rPr/>
              <w:t>256,708</w:t>
            </w:r>
          </w:p>
        </w:tc>
        <w:tc>
          <w:tcPr>
            <w:tcW w:w="90" w:type="dxa"/>
            <w:tcBorders/>
            <w:shd w:fill="FFFFFF" w:val="clear"/>
            <w:vAlign w:val="center"/>
          </w:tcPr>
          <w:p>
            <w:pPr>
              <w:pStyle w:val="TableContents"/>
              <w:bidi w:val="0"/>
              <w:spacing w:before="0" w:after="283"/>
              <w:jc w:val="left"/>
              <w:rPr/>
            </w:pPr>
            <w:r>
              <w:rPr/>
              <w:t> </w:t>
            </w:r>
          </w:p>
        </w:tc>
      </w:tr>
      <w:tr>
        <w:trPr/>
        <w:tc>
          <w:tcPr>
            <w:tcW w:w="7716" w:type="dxa"/>
            <w:tcBorders/>
            <w:shd w:fill="CCEEFF" w:val="clear"/>
            <w:vAlign w:val="center"/>
          </w:tcPr>
          <w:p>
            <w:pPr>
              <w:pStyle w:val="TableContents"/>
              <w:bidi w:val="0"/>
              <w:spacing w:before="0" w:after="283"/>
              <w:jc w:val="left"/>
              <w:rPr>
                <w:sz w:val="20"/>
              </w:rPr>
            </w:pPr>
            <w:r>
              <w:rPr>
                <w:sz w:val="20"/>
              </w:rPr>
              <w:t>Treasury Stock at cost, 1,733,774 shares at June 30, 2026 and December 31, 2025</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882" w:type="dxa"/>
            <w:tcBorders/>
            <w:shd w:fill="CCEEFF" w:val="clear"/>
            <w:vAlign w:val="center"/>
          </w:tcPr>
          <w:p>
            <w:pPr>
              <w:pStyle w:val="TableContents"/>
              <w:bidi w:val="0"/>
              <w:spacing w:before="0" w:after="283"/>
              <w:jc w:val="right"/>
              <w:rPr/>
            </w:pPr>
            <w:r>
              <w:rPr/>
              <w:t>(1,019</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 </w:t>
            </w:r>
          </w:p>
        </w:tc>
        <w:tc>
          <w:tcPr>
            <w:tcW w:w="1001" w:type="dxa"/>
            <w:tcBorders/>
            <w:shd w:fill="CCEEFF" w:val="clear"/>
            <w:vAlign w:val="center"/>
          </w:tcPr>
          <w:p>
            <w:pPr>
              <w:pStyle w:val="TableContents"/>
              <w:bidi w:val="0"/>
              <w:spacing w:before="0" w:after="283"/>
              <w:jc w:val="right"/>
              <w:rPr/>
            </w:pPr>
            <w:r>
              <w:rPr/>
              <w:t>(1,019</w:t>
            </w:r>
          </w:p>
        </w:tc>
        <w:tc>
          <w:tcPr>
            <w:tcW w:w="90" w:type="dxa"/>
            <w:tcBorders/>
            <w:shd w:fill="CCEEFF" w:val="clear"/>
            <w:vAlign w:val="center"/>
          </w:tcPr>
          <w:p>
            <w:pPr>
              <w:pStyle w:val="TableContents"/>
              <w:bidi w:val="0"/>
              <w:spacing w:before="0" w:after="283"/>
              <w:ind w:left="0" w:right="0" w:hanging="144"/>
              <w:jc w:val="left"/>
              <w:rPr/>
            </w:pPr>
            <w:r>
              <w:rPr/>
              <w:t>)</w:t>
            </w:r>
          </w:p>
        </w:tc>
      </w:tr>
      <w:tr>
        <w:trPr/>
        <w:tc>
          <w:tcPr>
            <w:tcW w:w="7716" w:type="dxa"/>
            <w:tcBorders/>
            <w:shd w:fill="FFFFFF" w:val="clear"/>
            <w:vAlign w:val="center"/>
          </w:tcPr>
          <w:p>
            <w:pPr>
              <w:pStyle w:val="TableContents"/>
              <w:bidi w:val="0"/>
              <w:spacing w:before="0" w:after="283"/>
              <w:jc w:val="left"/>
              <w:rPr>
                <w:sz w:val="20"/>
              </w:rPr>
            </w:pPr>
            <w:r>
              <w:rPr>
                <w:sz w:val="20"/>
              </w:rPr>
              <w:t>Accumulated deficit</w:t>
            </w:r>
          </w:p>
        </w:tc>
        <w:tc>
          <w:tcPr>
            <w:tcW w:w="60" w:type="dxa"/>
            <w:tcBorders/>
            <w:shd w:fill="FFFFFF" w:val="clear"/>
            <w:vAlign w:val="center"/>
          </w:tcPr>
          <w:p>
            <w:pPr>
              <w:pStyle w:val="TableContents"/>
              <w:bidi w:val="0"/>
              <w:spacing w:before="0" w:after="283"/>
              <w:jc w:val="left"/>
              <w:rPr/>
            </w:pPr>
            <w:r>
              <w:rPr/>
              <w:t> </w:t>
            </w:r>
          </w:p>
        </w:tc>
        <w:tc>
          <w:tcPr>
            <w:tcW w:w="14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82" w:type="dxa"/>
            <w:tcBorders>
              <w:bottom w:val="single" w:sz="8" w:space="0" w:color="000000"/>
            </w:tcBorders>
            <w:shd w:fill="FFFFFF" w:val="clear"/>
            <w:tcMar>
              <w:bottom w:w="28" w:type="dxa"/>
            </w:tcMar>
            <w:vAlign w:val="center"/>
          </w:tcPr>
          <w:p>
            <w:pPr>
              <w:pStyle w:val="TableContents"/>
              <w:bidi w:val="0"/>
              <w:spacing w:before="0" w:after="283"/>
              <w:jc w:val="right"/>
              <w:rPr/>
            </w:pPr>
            <w:r>
              <w:rPr/>
              <w:t>(283,700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01" w:type="dxa"/>
            <w:tcBorders>
              <w:bottom w:val="single" w:sz="8" w:space="0" w:color="000000"/>
            </w:tcBorders>
            <w:shd w:fill="FFFFFF" w:val="clear"/>
            <w:tcMar>
              <w:bottom w:w="28" w:type="dxa"/>
            </w:tcMar>
            <w:vAlign w:val="center"/>
          </w:tcPr>
          <w:p>
            <w:pPr>
              <w:pStyle w:val="TableContents"/>
              <w:bidi w:val="0"/>
              <w:spacing w:before="0" w:after="283"/>
              <w:jc w:val="right"/>
              <w:rPr/>
            </w:pPr>
            <w:r>
              <w:rPr/>
              <w:t>(271,419</w:t>
            </w:r>
          </w:p>
        </w:tc>
        <w:tc>
          <w:tcPr>
            <w:tcW w:w="90" w:type="dxa"/>
            <w:tcBorders/>
            <w:shd w:fill="FFFFFF" w:val="clear"/>
            <w:vAlign w:val="center"/>
          </w:tcPr>
          <w:p>
            <w:pPr>
              <w:pStyle w:val="TableContents"/>
              <w:bidi w:val="0"/>
              <w:spacing w:before="0" w:after="283"/>
              <w:ind w:left="0" w:right="0" w:hanging="144"/>
              <w:jc w:val="left"/>
              <w:rPr/>
            </w:pPr>
            <w:r>
              <w:rPr/>
              <w:t>)</w:t>
            </w:r>
          </w:p>
        </w:tc>
      </w:tr>
      <w:tr>
        <w:trPr/>
        <w:tc>
          <w:tcPr>
            <w:tcW w:w="7716" w:type="dxa"/>
            <w:tcBorders/>
            <w:shd w:fill="CCEEFF" w:val="clear"/>
            <w:vAlign w:val="center"/>
          </w:tcPr>
          <w:p>
            <w:pPr>
              <w:pStyle w:val="TableContents"/>
              <w:bidi w:val="0"/>
              <w:spacing w:before="0" w:after="283"/>
              <w:jc w:val="left"/>
              <w:rPr>
                <w:b/>
                <w:sz w:val="20"/>
              </w:rPr>
            </w:pPr>
            <w:r>
              <w:rPr>
                <w:b/>
                <w:sz w:val="20"/>
              </w:rPr>
              <w:t>Total stockholders’ deficit</w:t>
            </w:r>
          </w:p>
        </w:tc>
        <w:tc>
          <w:tcPr>
            <w:tcW w:w="60" w:type="dxa"/>
            <w:tcBorders/>
            <w:shd w:fill="CCEEFF" w:val="clear"/>
            <w:vAlign w:val="center"/>
          </w:tcPr>
          <w:p>
            <w:pPr>
              <w:pStyle w:val="TableContents"/>
              <w:bidi w:val="0"/>
              <w:spacing w:before="0" w:after="283"/>
              <w:jc w:val="left"/>
              <w:rPr/>
            </w:pPr>
            <w:r>
              <w:rPr/>
              <w:t> </w:t>
            </w:r>
          </w:p>
        </w:tc>
        <w:tc>
          <w:tcPr>
            <w:tcW w:w="14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82" w:type="dxa"/>
            <w:tcBorders>
              <w:bottom w:val="single" w:sz="8" w:space="0" w:color="000000"/>
            </w:tcBorders>
            <w:shd w:fill="CCEEFF" w:val="clear"/>
            <w:tcMar>
              <w:bottom w:w="28" w:type="dxa"/>
            </w:tcMar>
            <w:vAlign w:val="center"/>
          </w:tcPr>
          <w:p>
            <w:pPr>
              <w:pStyle w:val="TableContents"/>
              <w:bidi w:val="0"/>
              <w:spacing w:before="0" w:after="283"/>
              <w:jc w:val="right"/>
              <w:rPr/>
            </w:pPr>
            <w:r>
              <w:rPr/>
              <w:t>(24,914</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01" w:type="dxa"/>
            <w:tcBorders>
              <w:bottom w:val="single" w:sz="8" w:space="0" w:color="000000"/>
            </w:tcBorders>
            <w:shd w:fill="CCEEFF" w:val="clear"/>
            <w:tcMar>
              <w:bottom w:w="28" w:type="dxa"/>
            </w:tcMar>
            <w:vAlign w:val="center"/>
          </w:tcPr>
          <w:p>
            <w:pPr>
              <w:pStyle w:val="TableContents"/>
              <w:bidi w:val="0"/>
              <w:spacing w:before="0" w:after="283"/>
              <w:jc w:val="right"/>
              <w:rPr/>
            </w:pPr>
            <w:r>
              <w:rPr/>
              <w:t>(15,720</w:t>
            </w:r>
          </w:p>
        </w:tc>
        <w:tc>
          <w:tcPr>
            <w:tcW w:w="90" w:type="dxa"/>
            <w:tcBorders/>
            <w:shd w:fill="CCEEFF" w:val="clear"/>
            <w:vAlign w:val="center"/>
          </w:tcPr>
          <w:p>
            <w:pPr>
              <w:pStyle w:val="TableContents"/>
              <w:bidi w:val="0"/>
              <w:spacing w:before="0" w:after="283"/>
              <w:ind w:left="0" w:right="0" w:hanging="144"/>
              <w:jc w:val="left"/>
              <w:rPr/>
            </w:pPr>
            <w:r>
              <w:rPr/>
              <w:t>)</w:t>
            </w:r>
          </w:p>
        </w:tc>
      </w:tr>
      <w:tr>
        <w:trPr/>
        <w:tc>
          <w:tcPr>
            <w:tcW w:w="7716" w:type="dxa"/>
            <w:tcBorders/>
            <w:shd w:fill="FFFFFF" w:val="clear"/>
            <w:vAlign w:val="center"/>
          </w:tcPr>
          <w:p>
            <w:pPr>
              <w:pStyle w:val="TableContents"/>
              <w:bidi w:val="0"/>
              <w:spacing w:before="0" w:after="283"/>
              <w:jc w:val="left"/>
              <w:rPr>
                <w:b/>
                <w:sz w:val="20"/>
              </w:rPr>
            </w:pPr>
            <w:r>
              <w:rPr>
                <w:b/>
                <w:sz w:val="20"/>
              </w:rPr>
              <w:t>Total liabilities and stockholders’ deficit</w:t>
            </w:r>
          </w:p>
        </w:tc>
        <w:tc>
          <w:tcPr>
            <w:tcW w:w="60" w:type="dxa"/>
            <w:tcBorders/>
            <w:shd w:fill="FFFFFF" w:val="clear"/>
            <w:vAlign w:val="center"/>
          </w:tcPr>
          <w:p>
            <w:pPr>
              <w:pStyle w:val="TableContents"/>
              <w:bidi w:val="0"/>
              <w:spacing w:before="0" w:after="283"/>
              <w:jc w:val="left"/>
              <w:rPr/>
            </w:pPr>
            <w:r>
              <w:rPr/>
              <w:t> </w:t>
            </w:r>
          </w:p>
        </w:tc>
        <w:tc>
          <w:tcPr>
            <w:tcW w:w="141"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882" w:type="dxa"/>
            <w:tcBorders>
              <w:bottom w:val="double" w:sz="6" w:space="0" w:color="000000"/>
            </w:tcBorders>
            <w:shd w:fill="FFFFFF" w:val="clear"/>
            <w:tcMar>
              <w:bottom w:w="28" w:type="dxa"/>
            </w:tcMar>
            <w:vAlign w:val="center"/>
          </w:tcPr>
          <w:p>
            <w:pPr>
              <w:pStyle w:val="TableContents"/>
              <w:bidi w:val="0"/>
              <w:spacing w:before="0" w:after="283"/>
              <w:jc w:val="right"/>
              <w:rPr/>
            </w:pPr>
            <w:r>
              <w:rPr/>
              <w:t>178,233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001" w:type="dxa"/>
            <w:tcBorders>
              <w:bottom w:val="double" w:sz="6" w:space="0" w:color="000000"/>
            </w:tcBorders>
            <w:shd w:fill="FFFFFF" w:val="clear"/>
            <w:tcMar>
              <w:bottom w:w="28" w:type="dxa"/>
            </w:tcMar>
            <w:vAlign w:val="center"/>
          </w:tcPr>
          <w:p>
            <w:pPr>
              <w:pStyle w:val="TableContents"/>
              <w:bidi w:val="0"/>
              <w:spacing w:before="0" w:after="283"/>
              <w:jc w:val="right"/>
              <w:rPr/>
            </w:pPr>
            <w:r>
              <w:rPr/>
              <w:t>164,656</w:t>
            </w:r>
          </w:p>
        </w:tc>
        <w:tc>
          <w:tcPr>
            <w:tcW w:w="9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Consolidated Statements of Operations (Unaudited)</w:t>
      </w:r>
    </w:p>
    <w:p>
      <w:pPr>
        <w:pStyle w:val="TextBody"/>
        <w:bidi w:val="0"/>
        <w:spacing w:before="0" w:after="0"/>
        <w:ind w:left="0" w:right="0" w:hanging="0"/>
        <w:jc w:val="both"/>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(in thousands except share data)</w:t>
      </w:r>
    </w:p>
    <w:p>
      <w:pPr>
        <w:pStyle w:val="TextBody"/>
        <w:bidi w:val="0"/>
        <w:spacing w:before="0" w:after="0"/>
        <w:ind w:left="0" w:right="0" w:hanging="0"/>
        <w:jc w:val="both"/>
        <w:rPr>
          <w:caps w:val="false"/>
          <w:smallCaps w:val="false"/>
        </w:rPr>
      </w:pPr>
      <w:r>
        <w:rPr>
          <w:caps w:val="false"/>
          <w:smallCaps w:val="false"/>
        </w:rPr>
        <w:t> </w:t>
      </w:r>
    </w:p>
    <w:tbl>
      <w:tblPr>
        <w:tblW w:w="9956" w:type="dxa"/>
        <w:jc w:val="left"/>
        <w:tblInd w:w="0" w:type="dxa"/>
        <w:tblLayout w:type="fixed"/>
        <w:tblCellMar>
          <w:top w:w="0" w:type="dxa"/>
          <w:left w:w="0" w:type="dxa"/>
          <w:bottom w:w="0" w:type="dxa"/>
          <w:right w:w="0" w:type="dxa"/>
        </w:tblCellMar>
      </w:tblPr>
      <w:tblGrid>
        <w:gridCol w:w="5345"/>
        <w:gridCol w:w="60"/>
        <w:gridCol w:w="113"/>
        <w:gridCol w:w="950"/>
        <w:gridCol w:w="82"/>
        <w:gridCol w:w="61"/>
        <w:gridCol w:w="113"/>
        <w:gridCol w:w="857"/>
        <w:gridCol w:w="80"/>
        <w:gridCol w:w="60"/>
        <w:gridCol w:w="125"/>
        <w:gridCol w:w="920"/>
        <w:gridCol w:w="80"/>
        <w:gridCol w:w="60"/>
        <w:gridCol w:w="125"/>
        <w:gridCol w:w="830"/>
        <w:gridCol w:w="95"/>
      </w:tblGrid>
      <w:tr>
        <w:trPr/>
        <w:tc>
          <w:tcPr>
            <w:tcW w:w="53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76" w:type="dxa"/>
            <w:gridSpan w:val="6"/>
            <w:tcBorders>
              <w:bottom w:val="single" w:sz="8" w:space="0" w:color="000000"/>
            </w:tcBorders>
            <w:tcMar>
              <w:bottom w:w="28" w:type="dxa"/>
            </w:tcMar>
            <w:vAlign w:val="center"/>
          </w:tcPr>
          <w:p>
            <w:pPr>
              <w:pStyle w:val="TableContents"/>
              <w:bidi w:val="0"/>
              <w:spacing w:before="0" w:after="283"/>
              <w:jc w:val="center"/>
              <w:rPr>
                <w:b/>
                <w:sz w:val="16"/>
              </w:rPr>
            </w:pPr>
            <w:r>
              <w:rPr>
                <w:b/>
                <w:sz w:val="16"/>
              </w:rPr>
              <w:t>Three Months Ended June 30,</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40" w:type="dxa"/>
            <w:gridSpan w:val="6"/>
            <w:tcBorders>
              <w:bottom w:val="single" w:sz="8" w:space="0" w:color="000000"/>
            </w:tcBorders>
            <w:tcMar>
              <w:bottom w:w="28" w:type="dxa"/>
            </w:tcMar>
            <w:vAlign w:val="center"/>
          </w:tcPr>
          <w:p>
            <w:pPr>
              <w:pStyle w:val="TableContents"/>
              <w:bidi w:val="0"/>
              <w:spacing w:before="0" w:after="283"/>
              <w:jc w:val="center"/>
              <w:rPr>
                <w:b/>
                <w:sz w:val="16"/>
              </w:rPr>
            </w:pPr>
            <w:r>
              <w:rPr>
                <w:b/>
                <w:sz w:val="16"/>
              </w:rPr>
              <w:t>Six Months Ended June 30,</w:t>
            </w:r>
          </w:p>
        </w:tc>
        <w:tc>
          <w:tcPr>
            <w:tcW w:w="95" w:type="dxa"/>
            <w:tcBorders/>
            <w:vAlign w:val="center"/>
          </w:tcPr>
          <w:p>
            <w:pPr>
              <w:pStyle w:val="TableContents"/>
              <w:bidi w:val="0"/>
              <w:spacing w:before="0" w:after="283"/>
              <w:jc w:val="left"/>
              <w:rPr/>
            </w:pPr>
            <w:r>
              <w:rPr/>
              <w:t> </w:t>
            </w:r>
          </w:p>
        </w:tc>
      </w:tr>
      <w:tr>
        <w:trPr/>
        <w:tc>
          <w:tcPr>
            <w:tcW w:w="53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63" w:type="dxa"/>
            <w:gridSpan w:val="2"/>
            <w:tcBorders>
              <w:bottom w:val="single" w:sz="8" w:space="0" w:color="000000"/>
            </w:tcBorders>
            <w:tcMar>
              <w:bottom w:w="28" w:type="dxa"/>
            </w:tcMar>
            <w:vAlign w:val="center"/>
          </w:tcPr>
          <w:p>
            <w:pPr>
              <w:pStyle w:val="TableContents"/>
              <w:bidi w:val="0"/>
              <w:spacing w:before="0" w:after="283"/>
              <w:jc w:val="center"/>
              <w:rPr>
                <w:b/>
                <w:sz w:val="16"/>
              </w:rPr>
            </w:pPr>
            <w:r>
              <w:rPr>
                <w:b/>
                <w:sz w:val="16"/>
              </w:rPr>
              <w:t>2026</w:t>
            </w:r>
          </w:p>
        </w:tc>
        <w:tc>
          <w:tcPr>
            <w:tcW w:w="82"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c>
          <w:tcPr>
            <w:tcW w:w="970" w:type="dxa"/>
            <w:gridSpan w:val="2"/>
            <w:tcBorders>
              <w:bottom w:val="single" w:sz="8" w:space="0" w:color="000000"/>
            </w:tcBorders>
            <w:tcMar>
              <w:bottom w:w="28" w:type="dxa"/>
            </w:tcMar>
            <w:vAlign w:val="center"/>
          </w:tcPr>
          <w:p>
            <w:pPr>
              <w:pStyle w:val="TableContents"/>
              <w:bidi w:val="0"/>
              <w:spacing w:before="0" w:after="283"/>
              <w:jc w:val="center"/>
              <w:rPr>
                <w:b/>
                <w:sz w:val="16"/>
              </w:rPr>
            </w:pPr>
            <w:r>
              <w:rPr>
                <w:b/>
                <w:sz w:val="16"/>
              </w:rPr>
              <w:t>2025</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5" w:type="dxa"/>
            <w:gridSpan w:val="2"/>
            <w:tcBorders>
              <w:bottom w:val="single" w:sz="8" w:space="0" w:color="000000"/>
            </w:tcBorders>
            <w:tcMar>
              <w:bottom w:w="28" w:type="dxa"/>
            </w:tcMar>
            <w:vAlign w:val="center"/>
          </w:tcPr>
          <w:p>
            <w:pPr>
              <w:pStyle w:val="TableContents"/>
              <w:bidi w:val="0"/>
              <w:spacing w:before="0" w:after="283"/>
              <w:jc w:val="center"/>
              <w:rPr>
                <w:b/>
                <w:sz w:val="16"/>
              </w:rPr>
            </w:pPr>
            <w:r>
              <w:rPr>
                <w:b/>
                <w:sz w:val="16"/>
              </w:rPr>
              <w:t>2026</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55" w:type="dxa"/>
            <w:gridSpan w:val="2"/>
            <w:tcBorders>
              <w:bottom w:val="single" w:sz="8" w:space="0" w:color="000000"/>
            </w:tcBorders>
            <w:tcMar>
              <w:bottom w:w="28" w:type="dxa"/>
            </w:tcMar>
            <w:vAlign w:val="center"/>
          </w:tcPr>
          <w:p>
            <w:pPr>
              <w:pStyle w:val="TableContents"/>
              <w:bidi w:val="0"/>
              <w:spacing w:before="0" w:after="283"/>
              <w:jc w:val="center"/>
              <w:rPr>
                <w:b/>
                <w:sz w:val="16"/>
              </w:rPr>
            </w:pPr>
            <w:r>
              <w:rPr>
                <w:b/>
                <w:sz w:val="16"/>
              </w:rPr>
              <w:t>2025</w:t>
            </w:r>
          </w:p>
        </w:tc>
        <w:tc>
          <w:tcPr>
            <w:tcW w:w="95" w:type="dxa"/>
            <w:tcBorders/>
            <w:vAlign w:val="center"/>
          </w:tcPr>
          <w:p>
            <w:pPr>
              <w:pStyle w:val="TableContents"/>
              <w:bidi w:val="0"/>
              <w:spacing w:before="0" w:after="283"/>
              <w:jc w:val="left"/>
              <w:rPr/>
            </w:pPr>
            <w:r>
              <w:rPr/>
              <w:t> </w:t>
            </w:r>
          </w:p>
        </w:tc>
      </w:tr>
      <w:tr>
        <w:trPr/>
        <w:tc>
          <w:tcPr>
            <w:tcW w:w="5345" w:type="dxa"/>
            <w:tcBorders/>
            <w:vAlign w:val="center"/>
          </w:tcPr>
          <w:p>
            <w:pPr>
              <w:pStyle w:val="TableContents"/>
              <w:bidi w:val="0"/>
              <w:spacing w:before="0" w:after="283"/>
              <w:jc w:val="left"/>
              <w:rPr>
                <w:sz w:val="20"/>
              </w:rPr>
            </w:pPr>
            <w:r>
              <w:rPr>
                <w:sz w:val="20"/>
              </w:rPr>
              <w:t>Revenue</w:t>
            </w:r>
          </w:p>
        </w:tc>
        <w:tc>
          <w:tcPr>
            <w:tcW w:w="60" w:type="dxa"/>
            <w:tcBorders/>
            <w:vAlign w:val="center"/>
          </w:tcPr>
          <w:p>
            <w:pPr>
              <w:pStyle w:val="TableContents"/>
              <w:bidi w:val="0"/>
              <w:spacing w:before="0" w:after="283"/>
              <w:jc w:val="left"/>
              <w:rPr/>
            </w:pPr>
            <w:r>
              <w:rPr/>
              <w:t> </w:t>
            </w:r>
          </w:p>
        </w:tc>
        <w:tc>
          <w:tcPr>
            <w:tcW w:w="1063" w:type="dxa"/>
            <w:gridSpan w:val="2"/>
            <w:tcBorders/>
            <w:vAlign w:val="center"/>
          </w:tcPr>
          <w:p>
            <w:pPr>
              <w:pStyle w:val="TableContents"/>
              <w:bidi w:val="0"/>
              <w:spacing w:before="0" w:after="283"/>
              <w:jc w:val="left"/>
              <w:rPr/>
            </w:pPr>
            <w:r>
              <w:rPr/>
              <w:t> </w:t>
            </w:r>
          </w:p>
        </w:tc>
        <w:tc>
          <w:tcPr>
            <w:tcW w:w="82"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c>
          <w:tcPr>
            <w:tcW w:w="970" w:type="dxa"/>
            <w:gridSpan w:val="2"/>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5" w:type="dxa"/>
            <w:gridSpan w:val="2"/>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55"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ind w:left="0" w:right="0" w:hanging="144"/>
              <w:jc w:val="left"/>
              <w:rPr/>
            </w:pPr>
            <w:r>
              <w:rPr/>
              <w:t> </w:t>
            </w:r>
          </w:p>
        </w:tc>
      </w:tr>
      <w:tr>
        <w:trPr/>
        <w:tc>
          <w:tcPr>
            <w:tcW w:w="5345" w:type="dxa"/>
            <w:tcBorders/>
            <w:shd w:fill="CCEEFF" w:val="clear"/>
            <w:vAlign w:val="center"/>
          </w:tcPr>
          <w:p>
            <w:pPr>
              <w:pStyle w:val="TableContents"/>
              <w:bidi w:val="0"/>
              <w:spacing w:before="0" w:after="283"/>
              <w:jc w:val="left"/>
              <w:rPr>
                <w:sz w:val="20"/>
              </w:rPr>
            </w:pPr>
            <w:r>
              <w:rPr>
                <w:sz w:val="20"/>
              </w:rPr>
              <w:t>Patient services</w:t>
            </w:r>
          </w:p>
        </w:tc>
        <w:tc>
          <w:tcPr>
            <w:tcW w:w="60" w:type="dxa"/>
            <w:tcBorders/>
            <w:shd w:fill="CCEEFF" w:val="clear"/>
            <w:vAlign w:val="center"/>
          </w:tcPr>
          <w:p>
            <w:pPr>
              <w:pStyle w:val="TableContents"/>
              <w:bidi w:val="0"/>
              <w:spacing w:before="0" w:after="283"/>
              <w:jc w:val="left"/>
              <w:rPr/>
            </w:pPr>
            <w:r>
              <w:rPr/>
              <w:t> </w:t>
            </w:r>
          </w:p>
        </w:tc>
        <w:tc>
          <w:tcPr>
            <w:tcW w:w="113" w:type="dxa"/>
            <w:tcBorders/>
            <w:shd w:fill="CCEEFF" w:val="clear"/>
            <w:vAlign w:val="center"/>
          </w:tcPr>
          <w:p>
            <w:pPr>
              <w:pStyle w:val="TableContents"/>
              <w:bidi w:val="0"/>
              <w:spacing w:before="0" w:after="283"/>
              <w:jc w:val="left"/>
              <w:rPr>
                <w:sz w:val="18"/>
              </w:rPr>
            </w:pPr>
            <w:r>
              <w:rPr>
                <w:sz w:val="18"/>
              </w:rPr>
              <w:t>$</w:t>
            </w:r>
          </w:p>
        </w:tc>
        <w:tc>
          <w:tcPr>
            <w:tcW w:w="950" w:type="dxa"/>
            <w:tcBorders/>
            <w:shd w:fill="CCEEFF" w:val="clear"/>
            <w:vAlign w:val="center"/>
          </w:tcPr>
          <w:p>
            <w:pPr>
              <w:pStyle w:val="TableContents"/>
              <w:bidi w:val="0"/>
              <w:spacing w:before="0" w:after="283"/>
              <w:jc w:val="right"/>
              <w:rPr>
                <w:sz w:val="18"/>
              </w:rPr>
            </w:pPr>
            <w:r>
              <w:rPr>
                <w:sz w:val="18"/>
              </w:rPr>
              <w:t>58,827</w:t>
            </w:r>
          </w:p>
        </w:tc>
        <w:tc>
          <w:tcPr>
            <w:tcW w:w="82"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13" w:type="dxa"/>
            <w:tcBorders/>
            <w:shd w:fill="CCEEFF" w:val="clear"/>
            <w:vAlign w:val="center"/>
          </w:tcPr>
          <w:p>
            <w:pPr>
              <w:pStyle w:val="TableContents"/>
              <w:bidi w:val="0"/>
              <w:spacing w:before="0" w:after="283"/>
              <w:jc w:val="left"/>
              <w:rPr>
                <w:sz w:val="18"/>
              </w:rPr>
            </w:pPr>
            <w:r>
              <w:rPr>
                <w:sz w:val="18"/>
              </w:rPr>
              <w:t>$</w:t>
            </w:r>
          </w:p>
        </w:tc>
        <w:tc>
          <w:tcPr>
            <w:tcW w:w="857" w:type="dxa"/>
            <w:tcBorders/>
            <w:shd w:fill="CCEEFF" w:val="clear"/>
            <w:vAlign w:val="center"/>
          </w:tcPr>
          <w:p>
            <w:pPr>
              <w:pStyle w:val="TableContents"/>
              <w:bidi w:val="0"/>
              <w:spacing w:before="0" w:after="283"/>
              <w:jc w:val="right"/>
              <w:rPr>
                <w:sz w:val="18"/>
              </w:rPr>
            </w:pPr>
            <w:r>
              <w:rPr>
                <w:sz w:val="18"/>
              </w:rPr>
              <w:t>55,891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sz w:val="18"/>
              </w:rPr>
            </w:pPr>
            <w:r>
              <w:rPr>
                <w:sz w:val="18"/>
              </w:rPr>
              <w:t>$</w:t>
            </w:r>
          </w:p>
        </w:tc>
        <w:tc>
          <w:tcPr>
            <w:tcW w:w="920" w:type="dxa"/>
            <w:tcBorders/>
            <w:shd w:fill="CCEEFF" w:val="clear"/>
            <w:vAlign w:val="center"/>
          </w:tcPr>
          <w:p>
            <w:pPr>
              <w:pStyle w:val="TableContents"/>
              <w:bidi w:val="0"/>
              <w:spacing w:before="0" w:after="283"/>
              <w:jc w:val="right"/>
              <w:rPr>
                <w:sz w:val="18"/>
              </w:rPr>
            </w:pPr>
            <w:r>
              <w:rPr>
                <w:sz w:val="18"/>
              </w:rPr>
              <w:t>117,914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sz w:val="18"/>
              </w:rPr>
            </w:pPr>
            <w:r>
              <w:rPr>
                <w:sz w:val="18"/>
              </w:rPr>
              <w:t>$</w:t>
            </w:r>
          </w:p>
        </w:tc>
        <w:tc>
          <w:tcPr>
            <w:tcW w:w="830" w:type="dxa"/>
            <w:tcBorders/>
            <w:shd w:fill="CCEEFF" w:val="clear"/>
            <w:vAlign w:val="center"/>
          </w:tcPr>
          <w:p>
            <w:pPr>
              <w:pStyle w:val="TableContents"/>
              <w:bidi w:val="0"/>
              <w:spacing w:before="0" w:after="283"/>
              <w:jc w:val="right"/>
              <w:rPr>
                <w:sz w:val="18"/>
              </w:rPr>
            </w:pPr>
            <w:r>
              <w:rPr>
                <w:sz w:val="18"/>
              </w:rPr>
              <w:t>108,959</w:t>
            </w:r>
          </w:p>
        </w:tc>
        <w:tc>
          <w:tcPr>
            <w:tcW w:w="95" w:type="dxa"/>
            <w:tcBorders/>
            <w:shd w:fill="CCEEFF" w:val="clear"/>
            <w:vAlign w:val="center"/>
          </w:tcPr>
          <w:p>
            <w:pPr>
              <w:pStyle w:val="TableContents"/>
              <w:bidi w:val="0"/>
              <w:spacing w:before="0" w:after="283"/>
              <w:ind w:left="0" w:right="0" w:hanging="144"/>
              <w:jc w:val="left"/>
              <w:rPr/>
            </w:pPr>
            <w:r>
              <w:rPr/>
              <w:t> </w:t>
            </w:r>
          </w:p>
        </w:tc>
      </w:tr>
      <w:tr>
        <w:trPr/>
        <w:tc>
          <w:tcPr>
            <w:tcW w:w="5345" w:type="dxa"/>
            <w:tcBorders/>
            <w:shd w:fill="FFFFFF" w:val="clear"/>
            <w:vAlign w:val="center"/>
          </w:tcPr>
          <w:p>
            <w:pPr>
              <w:pStyle w:val="TableContents"/>
              <w:bidi w:val="0"/>
              <w:spacing w:before="0" w:after="283"/>
              <w:jc w:val="left"/>
              <w:rPr>
                <w:sz w:val="20"/>
              </w:rPr>
            </w:pPr>
            <w:r>
              <w:rPr>
                <w:sz w:val="20"/>
              </w:rPr>
              <w:t>Specialty Pharmacy</w:t>
            </w:r>
          </w:p>
        </w:tc>
        <w:tc>
          <w:tcPr>
            <w:tcW w:w="60" w:type="dxa"/>
            <w:tcBorders/>
            <w:shd w:fill="FFFFFF" w:val="clear"/>
            <w:vAlign w:val="center"/>
          </w:tcPr>
          <w:p>
            <w:pPr>
              <w:pStyle w:val="TableContents"/>
              <w:bidi w:val="0"/>
              <w:spacing w:before="0" w:after="283"/>
              <w:jc w:val="left"/>
              <w:rPr/>
            </w:pPr>
            <w:r>
              <w:rPr/>
              <w:t> </w:t>
            </w:r>
          </w:p>
        </w:tc>
        <w:tc>
          <w:tcPr>
            <w:tcW w:w="113"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sz w:val="18"/>
              </w:rPr>
            </w:pPr>
            <w:r>
              <w:rPr>
                <w:sz w:val="18"/>
              </w:rPr>
              <w:t>98,608</w:t>
            </w:r>
          </w:p>
        </w:tc>
        <w:tc>
          <w:tcPr>
            <w:tcW w:w="82"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13" w:type="dxa"/>
            <w:tcBorders/>
            <w:shd w:fill="FFFFFF" w:val="clear"/>
            <w:vAlign w:val="center"/>
          </w:tcPr>
          <w:p>
            <w:pPr>
              <w:pStyle w:val="TableContents"/>
              <w:bidi w:val="0"/>
              <w:spacing w:before="0" w:after="283"/>
              <w:jc w:val="left"/>
              <w:rPr/>
            </w:pPr>
            <w:r>
              <w:rPr/>
              <w:t> </w:t>
            </w:r>
          </w:p>
        </w:tc>
        <w:tc>
          <w:tcPr>
            <w:tcW w:w="857" w:type="dxa"/>
            <w:tcBorders/>
            <w:shd w:fill="FFFFFF" w:val="clear"/>
            <w:vAlign w:val="center"/>
          </w:tcPr>
          <w:p>
            <w:pPr>
              <w:pStyle w:val="TableContents"/>
              <w:bidi w:val="0"/>
              <w:spacing w:before="0" w:after="283"/>
              <w:jc w:val="right"/>
              <w:rPr>
                <w:sz w:val="18"/>
              </w:rPr>
            </w:pPr>
            <w:r>
              <w:rPr>
                <w:sz w:val="18"/>
              </w:rPr>
              <w:t>62,573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sz w:val="18"/>
              </w:rPr>
            </w:pPr>
            <w:r>
              <w:rPr>
                <w:sz w:val="18"/>
              </w:rPr>
              <w:t>186,149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30" w:type="dxa"/>
            <w:tcBorders/>
            <w:shd w:fill="FFFFFF" w:val="clear"/>
            <w:vAlign w:val="center"/>
          </w:tcPr>
          <w:p>
            <w:pPr>
              <w:pStyle w:val="TableContents"/>
              <w:bidi w:val="0"/>
              <w:spacing w:before="0" w:after="283"/>
              <w:jc w:val="right"/>
              <w:rPr>
                <w:sz w:val="18"/>
              </w:rPr>
            </w:pPr>
            <w:r>
              <w:rPr>
                <w:sz w:val="18"/>
              </w:rPr>
              <w:t>111,866</w:t>
            </w:r>
          </w:p>
        </w:tc>
        <w:tc>
          <w:tcPr>
            <w:tcW w:w="95" w:type="dxa"/>
            <w:tcBorders/>
            <w:shd w:fill="FFFFFF" w:val="clear"/>
            <w:vAlign w:val="center"/>
          </w:tcPr>
          <w:p>
            <w:pPr>
              <w:pStyle w:val="TableContents"/>
              <w:bidi w:val="0"/>
              <w:spacing w:before="0" w:after="283"/>
              <w:ind w:left="0" w:right="0" w:hanging="144"/>
              <w:jc w:val="left"/>
              <w:rPr/>
            </w:pPr>
            <w:r>
              <w:rPr/>
              <w:t> </w:t>
            </w:r>
          </w:p>
        </w:tc>
      </w:tr>
      <w:tr>
        <w:trPr/>
        <w:tc>
          <w:tcPr>
            <w:tcW w:w="5345" w:type="dxa"/>
            <w:tcBorders/>
            <w:shd w:fill="CCEEFF" w:val="clear"/>
            <w:vAlign w:val="center"/>
          </w:tcPr>
          <w:p>
            <w:pPr>
              <w:pStyle w:val="TableContents"/>
              <w:bidi w:val="0"/>
              <w:spacing w:before="0" w:after="283"/>
              <w:jc w:val="left"/>
              <w:rPr>
                <w:sz w:val="20"/>
              </w:rPr>
            </w:pPr>
            <w:r>
              <w:rPr>
                <w:sz w:val="20"/>
              </w:rPr>
              <w:t>Clinical trials &amp; other</w:t>
            </w:r>
          </w:p>
        </w:tc>
        <w:tc>
          <w:tcPr>
            <w:tcW w:w="60" w:type="dxa"/>
            <w:tcBorders/>
            <w:shd w:fill="CCEEFF" w:val="clear"/>
            <w:vAlign w:val="center"/>
          </w:tcPr>
          <w:p>
            <w:pPr>
              <w:pStyle w:val="TableContents"/>
              <w:bidi w:val="0"/>
              <w:spacing w:before="0" w:after="283"/>
              <w:jc w:val="left"/>
              <w:rPr/>
            </w:pPr>
            <w:r>
              <w:rPr/>
              <w:t> </w:t>
            </w:r>
          </w:p>
        </w:tc>
        <w:tc>
          <w:tcPr>
            <w:tcW w:w="11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50" w:type="dxa"/>
            <w:tcBorders>
              <w:bottom w:val="single" w:sz="8" w:space="0" w:color="000000"/>
            </w:tcBorders>
            <w:shd w:fill="CCEEFF" w:val="clear"/>
            <w:tcMar>
              <w:bottom w:w="28" w:type="dxa"/>
            </w:tcMar>
            <w:vAlign w:val="center"/>
          </w:tcPr>
          <w:p>
            <w:pPr>
              <w:pStyle w:val="TableContents"/>
              <w:bidi w:val="0"/>
              <w:spacing w:before="0" w:after="283"/>
              <w:jc w:val="right"/>
              <w:rPr>
                <w:sz w:val="18"/>
              </w:rPr>
            </w:pPr>
            <w:r>
              <w:rPr>
                <w:sz w:val="18"/>
              </w:rPr>
              <w:t>3,847</w:t>
            </w:r>
          </w:p>
        </w:tc>
        <w:tc>
          <w:tcPr>
            <w:tcW w:w="82"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1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57" w:type="dxa"/>
            <w:tcBorders>
              <w:bottom w:val="single" w:sz="8" w:space="0" w:color="000000"/>
            </w:tcBorders>
            <w:shd w:fill="CCEEFF" w:val="clear"/>
            <w:tcMar>
              <w:bottom w:w="28" w:type="dxa"/>
            </w:tcMar>
            <w:vAlign w:val="center"/>
          </w:tcPr>
          <w:p>
            <w:pPr>
              <w:pStyle w:val="TableContents"/>
              <w:bidi w:val="0"/>
              <w:spacing w:before="0" w:after="283"/>
              <w:jc w:val="right"/>
              <w:rPr>
                <w:sz w:val="18"/>
              </w:rPr>
            </w:pPr>
            <w:r>
              <w:rPr>
                <w:sz w:val="18"/>
              </w:rPr>
              <w:t>1,338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20" w:type="dxa"/>
            <w:tcBorders>
              <w:bottom w:val="single" w:sz="8" w:space="0" w:color="000000"/>
            </w:tcBorders>
            <w:shd w:fill="CCEEFF" w:val="clear"/>
            <w:tcMar>
              <w:bottom w:w="28" w:type="dxa"/>
            </w:tcMar>
            <w:vAlign w:val="center"/>
          </w:tcPr>
          <w:p>
            <w:pPr>
              <w:pStyle w:val="TableContents"/>
              <w:bidi w:val="0"/>
              <w:spacing w:before="0" w:after="283"/>
              <w:jc w:val="right"/>
              <w:rPr>
                <w:sz w:val="18"/>
              </w:rPr>
            </w:pPr>
            <w:r>
              <w:rPr>
                <w:sz w:val="18"/>
              </w:rPr>
              <w:t>4,660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30" w:type="dxa"/>
            <w:tcBorders>
              <w:bottom w:val="single" w:sz="8" w:space="0" w:color="000000"/>
            </w:tcBorders>
            <w:shd w:fill="CCEEFF" w:val="clear"/>
            <w:tcMar>
              <w:bottom w:w="28" w:type="dxa"/>
            </w:tcMar>
            <w:vAlign w:val="center"/>
          </w:tcPr>
          <w:p>
            <w:pPr>
              <w:pStyle w:val="TableContents"/>
              <w:bidi w:val="0"/>
              <w:spacing w:before="0" w:after="283"/>
              <w:jc w:val="right"/>
              <w:rPr>
                <w:sz w:val="18"/>
              </w:rPr>
            </w:pPr>
            <w:r>
              <w:rPr>
                <w:sz w:val="18"/>
              </w:rPr>
              <w:t>3,383</w:t>
            </w:r>
          </w:p>
        </w:tc>
        <w:tc>
          <w:tcPr>
            <w:tcW w:w="95" w:type="dxa"/>
            <w:tcBorders/>
            <w:shd w:fill="CCEEFF" w:val="clear"/>
            <w:vAlign w:val="center"/>
          </w:tcPr>
          <w:p>
            <w:pPr>
              <w:pStyle w:val="TableContents"/>
              <w:bidi w:val="0"/>
              <w:spacing w:before="0" w:after="283"/>
              <w:ind w:left="0" w:right="0" w:hanging="144"/>
              <w:jc w:val="left"/>
              <w:rPr/>
            </w:pPr>
            <w:r>
              <w:rPr/>
              <w:t> </w:t>
            </w:r>
          </w:p>
        </w:tc>
      </w:tr>
      <w:tr>
        <w:trPr/>
        <w:tc>
          <w:tcPr>
            <w:tcW w:w="5345" w:type="dxa"/>
            <w:tcBorders/>
            <w:shd w:fill="FFFFFF" w:val="clear"/>
            <w:vAlign w:val="center"/>
          </w:tcPr>
          <w:p>
            <w:pPr>
              <w:pStyle w:val="TableContents"/>
              <w:bidi w:val="0"/>
              <w:spacing w:before="0" w:after="283"/>
              <w:jc w:val="left"/>
              <w:rPr>
                <w:b/>
                <w:sz w:val="20"/>
              </w:rPr>
            </w:pPr>
            <w:r>
              <w:rPr>
                <w:b/>
                <w:sz w:val="20"/>
              </w:rPr>
              <w:t>Total operating revenue</w:t>
            </w:r>
          </w:p>
        </w:tc>
        <w:tc>
          <w:tcPr>
            <w:tcW w:w="60" w:type="dxa"/>
            <w:tcBorders/>
            <w:shd w:fill="FFFFFF" w:val="clear"/>
            <w:vAlign w:val="center"/>
          </w:tcPr>
          <w:p>
            <w:pPr>
              <w:pStyle w:val="TableContents"/>
              <w:bidi w:val="0"/>
              <w:spacing w:before="0" w:after="283"/>
              <w:jc w:val="left"/>
              <w:rPr/>
            </w:pPr>
            <w:r>
              <w:rPr/>
              <w:t> </w:t>
            </w:r>
          </w:p>
        </w:tc>
        <w:tc>
          <w:tcPr>
            <w:tcW w:w="113"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sz w:val="18"/>
              </w:rPr>
            </w:pPr>
            <w:r>
              <w:rPr>
                <w:sz w:val="18"/>
              </w:rPr>
              <w:t>161,282</w:t>
            </w:r>
          </w:p>
        </w:tc>
        <w:tc>
          <w:tcPr>
            <w:tcW w:w="82"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13" w:type="dxa"/>
            <w:tcBorders/>
            <w:shd w:fill="FFFFFF" w:val="clear"/>
            <w:vAlign w:val="center"/>
          </w:tcPr>
          <w:p>
            <w:pPr>
              <w:pStyle w:val="TableContents"/>
              <w:bidi w:val="0"/>
              <w:spacing w:before="0" w:after="283"/>
              <w:jc w:val="left"/>
              <w:rPr/>
            </w:pPr>
            <w:r>
              <w:rPr/>
              <w:t> </w:t>
            </w:r>
          </w:p>
        </w:tc>
        <w:tc>
          <w:tcPr>
            <w:tcW w:w="857" w:type="dxa"/>
            <w:tcBorders/>
            <w:shd w:fill="FFFFFF" w:val="clear"/>
            <w:vAlign w:val="center"/>
          </w:tcPr>
          <w:p>
            <w:pPr>
              <w:pStyle w:val="TableContents"/>
              <w:bidi w:val="0"/>
              <w:spacing w:before="0" w:after="283"/>
              <w:jc w:val="right"/>
              <w:rPr>
                <w:sz w:val="18"/>
              </w:rPr>
            </w:pPr>
            <w:r>
              <w:rPr>
                <w:sz w:val="18"/>
              </w:rPr>
              <w:t>119,802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sz w:val="18"/>
              </w:rPr>
            </w:pPr>
            <w:r>
              <w:rPr>
                <w:sz w:val="18"/>
              </w:rPr>
              <w:t>308,723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30" w:type="dxa"/>
            <w:tcBorders/>
            <w:shd w:fill="FFFFFF" w:val="clear"/>
            <w:vAlign w:val="center"/>
          </w:tcPr>
          <w:p>
            <w:pPr>
              <w:pStyle w:val="TableContents"/>
              <w:bidi w:val="0"/>
              <w:spacing w:before="0" w:after="283"/>
              <w:jc w:val="right"/>
              <w:rPr>
                <w:sz w:val="18"/>
              </w:rPr>
            </w:pPr>
            <w:r>
              <w:rPr>
                <w:sz w:val="18"/>
              </w:rPr>
              <w:t>224,208</w:t>
            </w:r>
          </w:p>
        </w:tc>
        <w:tc>
          <w:tcPr>
            <w:tcW w:w="95" w:type="dxa"/>
            <w:tcBorders/>
            <w:shd w:fill="FFFFFF" w:val="clear"/>
            <w:vAlign w:val="center"/>
          </w:tcPr>
          <w:p>
            <w:pPr>
              <w:pStyle w:val="TableContents"/>
              <w:bidi w:val="0"/>
              <w:spacing w:before="0" w:after="283"/>
              <w:ind w:left="0" w:right="0" w:hanging="144"/>
              <w:jc w:val="left"/>
              <w:rPr/>
            </w:pPr>
            <w:r>
              <w:rPr/>
              <w:t> </w:t>
            </w:r>
          </w:p>
        </w:tc>
      </w:tr>
      <w:tr>
        <w:trPr/>
        <w:tc>
          <w:tcPr>
            <w:tcW w:w="5345" w:type="dxa"/>
            <w:tcBorders/>
            <w:shd w:fill="CCEEFF" w:val="clear"/>
            <w:vAlign w:val="center"/>
          </w:tcPr>
          <w:p>
            <w:pPr>
              <w:pStyle w:val="TableContents"/>
              <w:bidi w:val="0"/>
              <w:spacing w:before="0" w:after="283"/>
              <w:jc w:val="left"/>
              <w:rPr>
                <w:sz w:val="20"/>
              </w:rPr>
            </w:pPr>
            <w:r>
              <w:rPr>
                <w:sz w:val="20"/>
              </w:rPr>
              <w:t>Operating expenses</w:t>
            </w:r>
          </w:p>
        </w:tc>
        <w:tc>
          <w:tcPr>
            <w:tcW w:w="60" w:type="dxa"/>
            <w:tcBorders/>
            <w:shd w:fill="CCEEFF" w:val="clear"/>
            <w:vAlign w:val="center"/>
          </w:tcPr>
          <w:p>
            <w:pPr>
              <w:pStyle w:val="TableContents"/>
              <w:bidi w:val="0"/>
              <w:spacing w:before="0" w:after="283"/>
              <w:jc w:val="left"/>
              <w:rPr/>
            </w:pPr>
            <w:r>
              <w:rPr/>
              <w:t> </w:t>
            </w:r>
          </w:p>
        </w:tc>
        <w:tc>
          <w:tcPr>
            <w:tcW w:w="113"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pPr>
            <w:r>
              <w:rPr/>
              <w:t> </w:t>
            </w:r>
          </w:p>
        </w:tc>
        <w:tc>
          <w:tcPr>
            <w:tcW w:w="82"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13" w:type="dxa"/>
            <w:tcBorders/>
            <w:shd w:fill="CCEEFF" w:val="clear"/>
            <w:vAlign w:val="center"/>
          </w:tcPr>
          <w:p>
            <w:pPr>
              <w:pStyle w:val="TableContents"/>
              <w:bidi w:val="0"/>
              <w:spacing w:before="0" w:after="283"/>
              <w:jc w:val="left"/>
              <w:rPr/>
            </w:pPr>
            <w:r>
              <w:rPr/>
              <w:t> </w:t>
            </w:r>
          </w:p>
        </w:tc>
        <w:tc>
          <w:tcPr>
            <w:tcW w:w="857"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2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ind w:left="0" w:right="0" w:hanging="144"/>
              <w:jc w:val="left"/>
              <w:rPr/>
            </w:pPr>
            <w:r>
              <w:rPr/>
              <w:t> </w:t>
            </w:r>
          </w:p>
        </w:tc>
      </w:tr>
      <w:tr>
        <w:trPr/>
        <w:tc>
          <w:tcPr>
            <w:tcW w:w="5345" w:type="dxa"/>
            <w:tcBorders/>
            <w:shd w:fill="FFFFFF" w:val="clear"/>
            <w:vAlign w:val="center"/>
          </w:tcPr>
          <w:p>
            <w:pPr>
              <w:pStyle w:val="TableContents"/>
              <w:bidi w:val="0"/>
              <w:spacing w:before="0" w:after="283"/>
              <w:jc w:val="left"/>
              <w:rPr>
                <w:sz w:val="20"/>
              </w:rPr>
            </w:pPr>
            <w:r>
              <w:rPr>
                <w:sz w:val="20"/>
              </w:rPr>
              <w:t>Direct costs – patient services</w:t>
            </w:r>
          </w:p>
        </w:tc>
        <w:tc>
          <w:tcPr>
            <w:tcW w:w="60" w:type="dxa"/>
            <w:tcBorders/>
            <w:shd w:fill="FFFFFF" w:val="clear"/>
            <w:vAlign w:val="center"/>
          </w:tcPr>
          <w:p>
            <w:pPr>
              <w:pStyle w:val="TableContents"/>
              <w:bidi w:val="0"/>
              <w:spacing w:before="0" w:after="283"/>
              <w:jc w:val="left"/>
              <w:rPr/>
            </w:pPr>
            <w:r>
              <w:rPr/>
              <w:t> </w:t>
            </w:r>
          </w:p>
        </w:tc>
        <w:tc>
          <w:tcPr>
            <w:tcW w:w="113"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sz w:val="18"/>
              </w:rPr>
            </w:pPr>
            <w:r>
              <w:rPr>
                <w:sz w:val="18"/>
              </w:rPr>
              <w:t>56,771</w:t>
            </w:r>
          </w:p>
        </w:tc>
        <w:tc>
          <w:tcPr>
            <w:tcW w:w="82"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13" w:type="dxa"/>
            <w:tcBorders/>
            <w:shd w:fill="FFFFFF" w:val="clear"/>
            <w:vAlign w:val="center"/>
          </w:tcPr>
          <w:p>
            <w:pPr>
              <w:pStyle w:val="TableContents"/>
              <w:bidi w:val="0"/>
              <w:spacing w:before="0" w:after="283"/>
              <w:jc w:val="left"/>
              <w:rPr/>
            </w:pPr>
            <w:r>
              <w:rPr/>
              <w:t> </w:t>
            </w:r>
          </w:p>
        </w:tc>
        <w:tc>
          <w:tcPr>
            <w:tcW w:w="857" w:type="dxa"/>
            <w:tcBorders/>
            <w:shd w:fill="FFFFFF" w:val="clear"/>
            <w:vAlign w:val="center"/>
          </w:tcPr>
          <w:p>
            <w:pPr>
              <w:pStyle w:val="TableContents"/>
              <w:bidi w:val="0"/>
              <w:spacing w:before="0" w:after="283"/>
              <w:jc w:val="right"/>
              <w:rPr>
                <w:sz w:val="18"/>
              </w:rPr>
            </w:pPr>
            <w:r>
              <w:rPr>
                <w:sz w:val="18"/>
              </w:rPr>
              <w:t>51,150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sz w:val="18"/>
              </w:rPr>
            </w:pPr>
            <w:r>
              <w:rPr>
                <w:sz w:val="18"/>
              </w:rPr>
              <w:t>110,154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30" w:type="dxa"/>
            <w:tcBorders/>
            <w:shd w:fill="FFFFFF" w:val="clear"/>
            <w:vAlign w:val="center"/>
          </w:tcPr>
          <w:p>
            <w:pPr>
              <w:pStyle w:val="TableContents"/>
              <w:bidi w:val="0"/>
              <w:spacing w:before="0" w:after="283"/>
              <w:jc w:val="right"/>
              <w:rPr>
                <w:sz w:val="18"/>
              </w:rPr>
            </w:pPr>
            <w:r>
              <w:rPr>
                <w:sz w:val="18"/>
              </w:rPr>
              <w:t>98,230</w:t>
            </w:r>
          </w:p>
        </w:tc>
        <w:tc>
          <w:tcPr>
            <w:tcW w:w="95" w:type="dxa"/>
            <w:tcBorders/>
            <w:shd w:fill="FFFFFF" w:val="clear"/>
            <w:vAlign w:val="center"/>
          </w:tcPr>
          <w:p>
            <w:pPr>
              <w:pStyle w:val="TableContents"/>
              <w:bidi w:val="0"/>
              <w:spacing w:before="0" w:after="283"/>
              <w:ind w:left="0" w:right="0" w:hanging="144"/>
              <w:jc w:val="left"/>
              <w:rPr/>
            </w:pPr>
            <w:r>
              <w:rPr/>
              <w:t> </w:t>
            </w:r>
          </w:p>
        </w:tc>
      </w:tr>
      <w:tr>
        <w:trPr/>
        <w:tc>
          <w:tcPr>
            <w:tcW w:w="5345" w:type="dxa"/>
            <w:tcBorders/>
            <w:shd w:fill="CCEEFF" w:val="clear"/>
            <w:vAlign w:val="center"/>
          </w:tcPr>
          <w:p>
            <w:pPr>
              <w:pStyle w:val="TableContents"/>
              <w:bidi w:val="0"/>
              <w:spacing w:before="0" w:after="283"/>
              <w:jc w:val="left"/>
              <w:rPr>
                <w:sz w:val="20"/>
              </w:rPr>
            </w:pPr>
            <w:r>
              <w:rPr>
                <w:sz w:val="20"/>
              </w:rPr>
              <w:t>Direct costs – specialty pharmacy</w:t>
            </w:r>
          </w:p>
        </w:tc>
        <w:tc>
          <w:tcPr>
            <w:tcW w:w="60" w:type="dxa"/>
            <w:tcBorders/>
            <w:shd w:fill="CCEEFF" w:val="clear"/>
            <w:vAlign w:val="center"/>
          </w:tcPr>
          <w:p>
            <w:pPr>
              <w:pStyle w:val="TableContents"/>
              <w:bidi w:val="0"/>
              <w:spacing w:before="0" w:after="283"/>
              <w:jc w:val="left"/>
              <w:rPr/>
            </w:pPr>
            <w:r>
              <w:rPr/>
              <w:t> </w:t>
            </w:r>
          </w:p>
        </w:tc>
        <w:tc>
          <w:tcPr>
            <w:tcW w:w="113"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sz w:val="18"/>
              </w:rPr>
            </w:pPr>
            <w:r>
              <w:rPr>
                <w:sz w:val="18"/>
              </w:rPr>
              <w:t>77,346</w:t>
            </w:r>
          </w:p>
        </w:tc>
        <w:tc>
          <w:tcPr>
            <w:tcW w:w="82"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13" w:type="dxa"/>
            <w:tcBorders/>
            <w:shd w:fill="CCEEFF" w:val="clear"/>
            <w:vAlign w:val="center"/>
          </w:tcPr>
          <w:p>
            <w:pPr>
              <w:pStyle w:val="TableContents"/>
              <w:bidi w:val="0"/>
              <w:spacing w:before="0" w:after="283"/>
              <w:jc w:val="left"/>
              <w:rPr/>
            </w:pPr>
            <w:r>
              <w:rPr/>
              <w:t> </w:t>
            </w:r>
          </w:p>
        </w:tc>
        <w:tc>
          <w:tcPr>
            <w:tcW w:w="857" w:type="dxa"/>
            <w:tcBorders/>
            <w:shd w:fill="CCEEFF" w:val="clear"/>
            <w:vAlign w:val="center"/>
          </w:tcPr>
          <w:p>
            <w:pPr>
              <w:pStyle w:val="TableContents"/>
              <w:bidi w:val="0"/>
              <w:spacing w:before="0" w:after="283"/>
              <w:jc w:val="right"/>
              <w:rPr>
                <w:sz w:val="18"/>
              </w:rPr>
            </w:pPr>
            <w:r>
              <w:rPr>
                <w:sz w:val="18"/>
              </w:rPr>
              <w:t>51,086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20" w:type="dxa"/>
            <w:tcBorders/>
            <w:shd w:fill="CCEEFF" w:val="clear"/>
            <w:vAlign w:val="center"/>
          </w:tcPr>
          <w:p>
            <w:pPr>
              <w:pStyle w:val="TableContents"/>
              <w:bidi w:val="0"/>
              <w:spacing w:before="0" w:after="283"/>
              <w:jc w:val="right"/>
              <w:rPr>
                <w:sz w:val="18"/>
              </w:rPr>
            </w:pPr>
            <w:r>
              <w:rPr>
                <w:sz w:val="18"/>
              </w:rPr>
              <w:t>148,089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sz w:val="18"/>
              </w:rPr>
            </w:pPr>
            <w:r>
              <w:rPr>
                <w:sz w:val="18"/>
              </w:rPr>
              <w:t>90,949</w:t>
            </w:r>
          </w:p>
        </w:tc>
        <w:tc>
          <w:tcPr>
            <w:tcW w:w="95" w:type="dxa"/>
            <w:tcBorders/>
            <w:shd w:fill="CCEEFF" w:val="clear"/>
            <w:vAlign w:val="center"/>
          </w:tcPr>
          <w:p>
            <w:pPr>
              <w:pStyle w:val="TableContents"/>
              <w:bidi w:val="0"/>
              <w:spacing w:before="0" w:after="283"/>
              <w:ind w:left="0" w:right="0" w:hanging="144"/>
              <w:jc w:val="left"/>
              <w:rPr/>
            </w:pPr>
            <w:r>
              <w:rPr/>
              <w:t> </w:t>
            </w:r>
          </w:p>
        </w:tc>
      </w:tr>
      <w:tr>
        <w:trPr/>
        <w:tc>
          <w:tcPr>
            <w:tcW w:w="5345" w:type="dxa"/>
            <w:tcBorders/>
            <w:shd w:fill="FFFFFF" w:val="clear"/>
            <w:vAlign w:val="center"/>
          </w:tcPr>
          <w:p>
            <w:pPr>
              <w:pStyle w:val="TableContents"/>
              <w:bidi w:val="0"/>
              <w:spacing w:before="0" w:after="283"/>
              <w:jc w:val="left"/>
              <w:rPr>
                <w:sz w:val="20"/>
              </w:rPr>
            </w:pPr>
            <w:r>
              <w:rPr>
                <w:sz w:val="20"/>
              </w:rPr>
              <w:t>Direct costs – clinical trials &amp; other</w:t>
            </w:r>
          </w:p>
        </w:tc>
        <w:tc>
          <w:tcPr>
            <w:tcW w:w="60" w:type="dxa"/>
            <w:tcBorders/>
            <w:shd w:fill="FFFFFF" w:val="clear"/>
            <w:vAlign w:val="center"/>
          </w:tcPr>
          <w:p>
            <w:pPr>
              <w:pStyle w:val="TableContents"/>
              <w:bidi w:val="0"/>
              <w:spacing w:before="0" w:after="283"/>
              <w:jc w:val="left"/>
              <w:rPr/>
            </w:pPr>
            <w:r>
              <w:rPr/>
              <w:t> </w:t>
            </w:r>
          </w:p>
        </w:tc>
        <w:tc>
          <w:tcPr>
            <w:tcW w:w="113" w:type="dxa"/>
            <w:tcBorders/>
            <w:shd w:fill="FFFFFF" w:val="clear"/>
            <w:vAlign w:val="center"/>
          </w:tcPr>
          <w:p>
            <w:pPr>
              <w:pStyle w:val="TableContents"/>
              <w:bidi w:val="0"/>
              <w:spacing w:before="0" w:after="283"/>
              <w:jc w:val="left"/>
              <w:rPr>
                <w:sz w:val="4"/>
                <w:szCs w:val="4"/>
              </w:rPr>
            </w:pPr>
            <w:r>
              <w:rPr>
                <w:sz w:val="4"/>
                <w:szCs w:val="4"/>
              </w:rPr>
            </w:r>
          </w:p>
        </w:tc>
        <w:tc>
          <w:tcPr>
            <w:tcW w:w="950" w:type="dxa"/>
            <w:tcBorders/>
            <w:shd w:fill="FFFFFF" w:val="clear"/>
            <w:vAlign w:val="center"/>
          </w:tcPr>
          <w:p>
            <w:pPr>
              <w:pStyle w:val="TableContents"/>
              <w:bidi w:val="0"/>
              <w:spacing w:before="0" w:after="283"/>
              <w:jc w:val="right"/>
              <w:rPr/>
            </w:pPr>
            <w:r>
              <w:rPr/>
              <w:t>—</w:t>
            </w:r>
          </w:p>
        </w:tc>
        <w:tc>
          <w:tcPr>
            <w:tcW w:w="82"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13" w:type="dxa"/>
            <w:tcBorders/>
            <w:shd w:fill="FFFFFF" w:val="clear"/>
            <w:vAlign w:val="center"/>
          </w:tcPr>
          <w:p>
            <w:pPr>
              <w:pStyle w:val="TableContents"/>
              <w:bidi w:val="0"/>
              <w:spacing w:before="0" w:after="283"/>
              <w:jc w:val="left"/>
              <w:rPr/>
            </w:pPr>
            <w:r>
              <w:rPr/>
              <w:t> </w:t>
            </w:r>
          </w:p>
        </w:tc>
        <w:tc>
          <w:tcPr>
            <w:tcW w:w="857" w:type="dxa"/>
            <w:tcBorders/>
            <w:shd w:fill="FFFFFF" w:val="clear"/>
            <w:vAlign w:val="center"/>
          </w:tcPr>
          <w:p>
            <w:pPr>
              <w:pStyle w:val="TableContents"/>
              <w:bidi w:val="0"/>
              <w:spacing w:before="0" w:after="283"/>
              <w:jc w:val="right"/>
              <w:rPr>
                <w:sz w:val="18"/>
              </w:rPr>
            </w:pPr>
            <w:r>
              <w:rPr>
                <w:sz w:val="18"/>
              </w:rPr>
              <w:t>65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30" w:type="dxa"/>
            <w:tcBorders/>
            <w:shd w:fill="FFFFFF" w:val="clear"/>
            <w:vAlign w:val="center"/>
          </w:tcPr>
          <w:p>
            <w:pPr>
              <w:pStyle w:val="TableContents"/>
              <w:bidi w:val="0"/>
              <w:spacing w:before="0" w:after="283"/>
              <w:jc w:val="right"/>
              <w:rPr>
                <w:sz w:val="18"/>
              </w:rPr>
            </w:pPr>
            <w:r>
              <w:rPr>
                <w:sz w:val="18"/>
              </w:rPr>
              <w:t>279</w:t>
            </w:r>
          </w:p>
        </w:tc>
        <w:tc>
          <w:tcPr>
            <w:tcW w:w="95" w:type="dxa"/>
            <w:tcBorders/>
            <w:shd w:fill="FFFFFF" w:val="clear"/>
            <w:vAlign w:val="center"/>
          </w:tcPr>
          <w:p>
            <w:pPr>
              <w:pStyle w:val="TableContents"/>
              <w:bidi w:val="0"/>
              <w:spacing w:before="0" w:after="283"/>
              <w:ind w:left="0" w:right="0" w:hanging="144"/>
              <w:jc w:val="left"/>
              <w:rPr/>
            </w:pPr>
            <w:r>
              <w:rPr/>
              <w:t> </w:t>
            </w:r>
          </w:p>
        </w:tc>
      </w:tr>
      <w:tr>
        <w:trPr/>
        <w:tc>
          <w:tcPr>
            <w:tcW w:w="5345" w:type="dxa"/>
            <w:tcBorders/>
            <w:shd w:fill="CCEEFF" w:val="clear"/>
            <w:vAlign w:val="center"/>
          </w:tcPr>
          <w:p>
            <w:pPr>
              <w:pStyle w:val="TableContents"/>
              <w:bidi w:val="0"/>
              <w:spacing w:before="0" w:after="283"/>
              <w:jc w:val="left"/>
              <w:rPr>
                <w:sz w:val="20"/>
              </w:rPr>
            </w:pPr>
            <w:r>
              <w:rPr>
                <w:sz w:val="20"/>
              </w:rPr>
              <w:t>Selling, general and administrative expense</w:t>
            </w:r>
          </w:p>
        </w:tc>
        <w:tc>
          <w:tcPr>
            <w:tcW w:w="60" w:type="dxa"/>
            <w:tcBorders/>
            <w:shd w:fill="CCEEFF" w:val="clear"/>
            <w:vAlign w:val="center"/>
          </w:tcPr>
          <w:p>
            <w:pPr>
              <w:pStyle w:val="TableContents"/>
              <w:bidi w:val="0"/>
              <w:spacing w:before="0" w:after="283"/>
              <w:jc w:val="left"/>
              <w:rPr/>
            </w:pPr>
            <w:r>
              <w:rPr/>
              <w:t> </w:t>
            </w:r>
          </w:p>
        </w:tc>
        <w:tc>
          <w:tcPr>
            <w:tcW w:w="113"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sz w:val="18"/>
              </w:rPr>
            </w:pPr>
            <w:r>
              <w:rPr>
                <w:sz w:val="18"/>
              </w:rPr>
              <w:t>29,943</w:t>
            </w:r>
          </w:p>
        </w:tc>
        <w:tc>
          <w:tcPr>
            <w:tcW w:w="82"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13" w:type="dxa"/>
            <w:tcBorders/>
            <w:shd w:fill="CCEEFF" w:val="clear"/>
            <w:vAlign w:val="center"/>
          </w:tcPr>
          <w:p>
            <w:pPr>
              <w:pStyle w:val="TableContents"/>
              <w:bidi w:val="0"/>
              <w:spacing w:before="0" w:after="283"/>
              <w:jc w:val="left"/>
              <w:rPr/>
            </w:pPr>
            <w:r>
              <w:rPr/>
              <w:t> </w:t>
            </w:r>
          </w:p>
        </w:tc>
        <w:tc>
          <w:tcPr>
            <w:tcW w:w="857" w:type="dxa"/>
            <w:tcBorders/>
            <w:shd w:fill="CCEEFF" w:val="clear"/>
            <w:vAlign w:val="center"/>
          </w:tcPr>
          <w:p>
            <w:pPr>
              <w:pStyle w:val="TableContents"/>
              <w:bidi w:val="0"/>
              <w:spacing w:before="0" w:after="283"/>
              <w:jc w:val="right"/>
              <w:rPr>
                <w:sz w:val="18"/>
              </w:rPr>
            </w:pPr>
            <w:r>
              <w:rPr>
                <w:sz w:val="18"/>
              </w:rPr>
              <w:t>26,907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20" w:type="dxa"/>
            <w:tcBorders/>
            <w:shd w:fill="CCEEFF" w:val="clear"/>
            <w:vAlign w:val="center"/>
          </w:tcPr>
          <w:p>
            <w:pPr>
              <w:pStyle w:val="TableContents"/>
              <w:bidi w:val="0"/>
              <w:spacing w:before="0" w:after="283"/>
              <w:jc w:val="right"/>
              <w:rPr>
                <w:sz w:val="18"/>
              </w:rPr>
            </w:pPr>
            <w:r>
              <w:rPr>
                <w:sz w:val="18"/>
              </w:rPr>
              <w:t>58,155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sz w:val="18"/>
              </w:rPr>
            </w:pPr>
            <w:r>
              <w:rPr>
                <w:sz w:val="18"/>
              </w:rPr>
              <w:t>52,283</w:t>
            </w:r>
          </w:p>
        </w:tc>
        <w:tc>
          <w:tcPr>
            <w:tcW w:w="95" w:type="dxa"/>
            <w:tcBorders/>
            <w:shd w:fill="CCEEFF" w:val="clear"/>
            <w:vAlign w:val="center"/>
          </w:tcPr>
          <w:p>
            <w:pPr>
              <w:pStyle w:val="TableContents"/>
              <w:bidi w:val="0"/>
              <w:spacing w:before="0" w:after="283"/>
              <w:ind w:left="0" w:right="0" w:hanging="144"/>
              <w:jc w:val="left"/>
              <w:rPr/>
            </w:pPr>
            <w:r>
              <w:rPr/>
              <w:t> </w:t>
            </w:r>
          </w:p>
        </w:tc>
      </w:tr>
      <w:tr>
        <w:trPr/>
        <w:tc>
          <w:tcPr>
            <w:tcW w:w="5345" w:type="dxa"/>
            <w:tcBorders/>
            <w:shd w:fill="FFFFFF" w:val="clear"/>
            <w:vAlign w:val="center"/>
          </w:tcPr>
          <w:p>
            <w:pPr>
              <w:pStyle w:val="TableContents"/>
              <w:bidi w:val="0"/>
              <w:spacing w:before="0" w:after="283"/>
              <w:jc w:val="left"/>
              <w:rPr>
                <w:sz w:val="20"/>
              </w:rPr>
            </w:pPr>
            <w:r>
              <w:rPr>
                <w:sz w:val="20"/>
              </w:rPr>
              <w:t>Depreciation and amortization</w:t>
            </w:r>
          </w:p>
        </w:tc>
        <w:tc>
          <w:tcPr>
            <w:tcW w:w="60" w:type="dxa"/>
            <w:tcBorders/>
            <w:shd w:fill="FFFFFF" w:val="clear"/>
            <w:vAlign w:val="center"/>
          </w:tcPr>
          <w:p>
            <w:pPr>
              <w:pStyle w:val="TableContents"/>
              <w:bidi w:val="0"/>
              <w:spacing w:before="0" w:after="283"/>
              <w:jc w:val="left"/>
              <w:rPr/>
            </w:pPr>
            <w:r>
              <w:rPr/>
              <w:t> </w:t>
            </w:r>
          </w:p>
        </w:tc>
        <w:tc>
          <w:tcPr>
            <w:tcW w:w="11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50" w:type="dxa"/>
            <w:tcBorders>
              <w:bottom w:val="single" w:sz="8" w:space="0" w:color="000000"/>
            </w:tcBorders>
            <w:shd w:fill="FFFFFF" w:val="clear"/>
            <w:tcMar>
              <w:bottom w:w="28" w:type="dxa"/>
            </w:tcMar>
            <w:vAlign w:val="center"/>
          </w:tcPr>
          <w:p>
            <w:pPr>
              <w:pStyle w:val="TableContents"/>
              <w:bidi w:val="0"/>
              <w:spacing w:before="0" w:after="283"/>
              <w:jc w:val="right"/>
              <w:rPr>
                <w:sz w:val="18"/>
              </w:rPr>
            </w:pPr>
            <w:r>
              <w:rPr>
                <w:sz w:val="18"/>
              </w:rPr>
              <w:t>1,838</w:t>
            </w:r>
          </w:p>
        </w:tc>
        <w:tc>
          <w:tcPr>
            <w:tcW w:w="82"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1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57" w:type="dxa"/>
            <w:tcBorders>
              <w:bottom w:val="single" w:sz="8" w:space="0" w:color="000000"/>
            </w:tcBorders>
            <w:shd w:fill="FFFFFF" w:val="clear"/>
            <w:tcMar>
              <w:bottom w:w="28" w:type="dxa"/>
            </w:tcMar>
            <w:vAlign w:val="center"/>
          </w:tcPr>
          <w:p>
            <w:pPr>
              <w:pStyle w:val="TableContents"/>
              <w:bidi w:val="0"/>
              <w:spacing w:before="0" w:after="283"/>
              <w:jc w:val="right"/>
              <w:rPr>
                <w:sz w:val="18"/>
              </w:rPr>
            </w:pPr>
            <w:r>
              <w:rPr>
                <w:sz w:val="18"/>
              </w:rPr>
              <w:t>1,805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20" w:type="dxa"/>
            <w:tcBorders>
              <w:bottom w:val="single" w:sz="8" w:space="0" w:color="000000"/>
            </w:tcBorders>
            <w:shd w:fill="FFFFFF" w:val="clear"/>
            <w:tcMar>
              <w:bottom w:w="28" w:type="dxa"/>
            </w:tcMar>
            <w:vAlign w:val="center"/>
          </w:tcPr>
          <w:p>
            <w:pPr>
              <w:pStyle w:val="TableContents"/>
              <w:bidi w:val="0"/>
              <w:spacing w:before="0" w:after="283"/>
              <w:jc w:val="right"/>
              <w:rPr>
                <w:sz w:val="18"/>
              </w:rPr>
            </w:pPr>
            <w:r>
              <w:rPr>
                <w:sz w:val="18"/>
              </w:rPr>
              <w:t>3,454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30" w:type="dxa"/>
            <w:tcBorders>
              <w:bottom w:val="single" w:sz="8" w:space="0" w:color="000000"/>
            </w:tcBorders>
            <w:shd w:fill="FFFFFF" w:val="clear"/>
            <w:tcMar>
              <w:bottom w:w="28" w:type="dxa"/>
            </w:tcMar>
            <w:vAlign w:val="center"/>
          </w:tcPr>
          <w:p>
            <w:pPr>
              <w:pStyle w:val="TableContents"/>
              <w:bidi w:val="0"/>
              <w:spacing w:before="0" w:after="283"/>
              <w:jc w:val="right"/>
              <w:rPr>
                <w:sz w:val="18"/>
              </w:rPr>
            </w:pPr>
            <w:r>
              <w:rPr>
                <w:sz w:val="18"/>
              </w:rPr>
              <w:t>3,589</w:t>
            </w:r>
          </w:p>
        </w:tc>
        <w:tc>
          <w:tcPr>
            <w:tcW w:w="95" w:type="dxa"/>
            <w:tcBorders/>
            <w:shd w:fill="FFFFFF" w:val="clear"/>
            <w:vAlign w:val="center"/>
          </w:tcPr>
          <w:p>
            <w:pPr>
              <w:pStyle w:val="TableContents"/>
              <w:bidi w:val="0"/>
              <w:spacing w:before="0" w:after="283"/>
              <w:ind w:left="0" w:right="0" w:hanging="144"/>
              <w:jc w:val="left"/>
              <w:rPr/>
            </w:pPr>
            <w:r>
              <w:rPr/>
              <w:t> </w:t>
            </w:r>
          </w:p>
        </w:tc>
      </w:tr>
      <w:tr>
        <w:trPr/>
        <w:tc>
          <w:tcPr>
            <w:tcW w:w="5345" w:type="dxa"/>
            <w:tcBorders/>
            <w:shd w:fill="CCEEFF" w:val="clear"/>
            <w:vAlign w:val="center"/>
          </w:tcPr>
          <w:p>
            <w:pPr>
              <w:pStyle w:val="TableContents"/>
              <w:bidi w:val="0"/>
              <w:spacing w:before="0" w:after="283"/>
              <w:jc w:val="left"/>
              <w:rPr>
                <w:b/>
                <w:sz w:val="20"/>
              </w:rPr>
            </w:pPr>
            <w:r>
              <w:rPr>
                <w:b/>
                <w:sz w:val="20"/>
              </w:rPr>
              <w:t>Total operating expenses</w:t>
            </w:r>
          </w:p>
        </w:tc>
        <w:tc>
          <w:tcPr>
            <w:tcW w:w="60" w:type="dxa"/>
            <w:tcBorders/>
            <w:shd w:fill="CCEEFF" w:val="clear"/>
            <w:vAlign w:val="center"/>
          </w:tcPr>
          <w:p>
            <w:pPr>
              <w:pStyle w:val="TableContents"/>
              <w:bidi w:val="0"/>
              <w:spacing w:before="0" w:after="283"/>
              <w:jc w:val="left"/>
              <w:rPr/>
            </w:pPr>
            <w:r>
              <w:rPr/>
              <w:t> </w:t>
            </w:r>
          </w:p>
        </w:tc>
        <w:tc>
          <w:tcPr>
            <w:tcW w:w="11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50" w:type="dxa"/>
            <w:tcBorders>
              <w:bottom w:val="single" w:sz="8" w:space="0" w:color="000000"/>
            </w:tcBorders>
            <w:shd w:fill="CCEEFF" w:val="clear"/>
            <w:tcMar>
              <w:bottom w:w="28" w:type="dxa"/>
            </w:tcMar>
            <w:vAlign w:val="center"/>
          </w:tcPr>
          <w:p>
            <w:pPr>
              <w:pStyle w:val="TableContents"/>
              <w:bidi w:val="0"/>
              <w:spacing w:before="0" w:after="283"/>
              <w:jc w:val="right"/>
              <w:rPr>
                <w:sz w:val="18"/>
              </w:rPr>
            </w:pPr>
            <w:r>
              <w:rPr>
                <w:sz w:val="18"/>
              </w:rPr>
              <w:t>165,898</w:t>
            </w:r>
          </w:p>
        </w:tc>
        <w:tc>
          <w:tcPr>
            <w:tcW w:w="82"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1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57" w:type="dxa"/>
            <w:tcBorders>
              <w:bottom w:val="single" w:sz="8" w:space="0" w:color="000000"/>
            </w:tcBorders>
            <w:shd w:fill="CCEEFF" w:val="clear"/>
            <w:tcMar>
              <w:bottom w:w="28" w:type="dxa"/>
            </w:tcMar>
            <w:vAlign w:val="center"/>
          </w:tcPr>
          <w:p>
            <w:pPr>
              <w:pStyle w:val="TableContents"/>
              <w:bidi w:val="0"/>
              <w:spacing w:before="0" w:after="283"/>
              <w:jc w:val="right"/>
              <w:rPr>
                <w:sz w:val="18"/>
              </w:rPr>
            </w:pPr>
            <w:r>
              <w:rPr>
                <w:sz w:val="18"/>
              </w:rPr>
              <w:t>131,013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20" w:type="dxa"/>
            <w:tcBorders>
              <w:bottom w:val="single" w:sz="8" w:space="0" w:color="000000"/>
            </w:tcBorders>
            <w:shd w:fill="CCEEFF" w:val="clear"/>
            <w:tcMar>
              <w:bottom w:w="28" w:type="dxa"/>
            </w:tcMar>
            <w:vAlign w:val="center"/>
          </w:tcPr>
          <w:p>
            <w:pPr>
              <w:pStyle w:val="TableContents"/>
              <w:bidi w:val="0"/>
              <w:spacing w:before="0" w:after="283"/>
              <w:jc w:val="right"/>
              <w:rPr>
                <w:sz w:val="18"/>
              </w:rPr>
            </w:pPr>
            <w:r>
              <w:rPr>
                <w:sz w:val="18"/>
              </w:rPr>
              <w:t>319,852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30" w:type="dxa"/>
            <w:tcBorders>
              <w:bottom w:val="single" w:sz="8" w:space="0" w:color="000000"/>
            </w:tcBorders>
            <w:shd w:fill="CCEEFF" w:val="clear"/>
            <w:tcMar>
              <w:bottom w:w="28" w:type="dxa"/>
            </w:tcMar>
            <w:vAlign w:val="center"/>
          </w:tcPr>
          <w:p>
            <w:pPr>
              <w:pStyle w:val="TableContents"/>
              <w:bidi w:val="0"/>
              <w:spacing w:before="0" w:after="283"/>
              <w:jc w:val="right"/>
              <w:rPr>
                <w:sz w:val="18"/>
              </w:rPr>
            </w:pPr>
            <w:r>
              <w:rPr>
                <w:sz w:val="18"/>
              </w:rPr>
              <w:t>245,330</w:t>
            </w:r>
          </w:p>
        </w:tc>
        <w:tc>
          <w:tcPr>
            <w:tcW w:w="95" w:type="dxa"/>
            <w:tcBorders/>
            <w:shd w:fill="CCEEFF" w:val="clear"/>
            <w:vAlign w:val="center"/>
          </w:tcPr>
          <w:p>
            <w:pPr>
              <w:pStyle w:val="TableContents"/>
              <w:bidi w:val="0"/>
              <w:spacing w:before="0" w:after="283"/>
              <w:ind w:left="0" w:right="0" w:hanging="144"/>
              <w:jc w:val="left"/>
              <w:rPr/>
            </w:pPr>
            <w:r>
              <w:rPr/>
              <w:t> </w:t>
            </w:r>
          </w:p>
        </w:tc>
      </w:tr>
      <w:tr>
        <w:trPr/>
        <w:tc>
          <w:tcPr>
            <w:tcW w:w="5345" w:type="dxa"/>
            <w:tcBorders/>
            <w:shd w:fill="FFFFFF" w:val="clear"/>
            <w:vAlign w:val="center"/>
          </w:tcPr>
          <w:p>
            <w:pPr>
              <w:pStyle w:val="TableContents"/>
              <w:bidi w:val="0"/>
              <w:spacing w:before="0" w:after="283"/>
              <w:jc w:val="left"/>
              <w:rPr>
                <w:b/>
                <w:sz w:val="20"/>
              </w:rPr>
            </w:pPr>
            <w:r>
              <w:rPr>
                <w:b/>
                <w:sz w:val="20"/>
              </w:rPr>
              <w:t>Loss from operations</w:t>
            </w:r>
          </w:p>
        </w:tc>
        <w:tc>
          <w:tcPr>
            <w:tcW w:w="60" w:type="dxa"/>
            <w:tcBorders/>
            <w:shd w:fill="FFFFFF" w:val="clear"/>
            <w:vAlign w:val="center"/>
          </w:tcPr>
          <w:p>
            <w:pPr>
              <w:pStyle w:val="TableContents"/>
              <w:bidi w:val="0"/>
              <w:spacing w:before="0" w:after="283"/>
              <w:jc w:val="left"/>
              <w:rPr/>
            </w:pPr>
            <w:r>
              <w:rPr/>
              <w:t> </w:t>
            </w:r>
          </w:p>
        </w:tc>
        <w:tc>
          <w:tcPr>
            <w:tcW w:w="113"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sz w:val="18"/>
              </w:rPr>
            </w:pPr>
            <w:r>
              <w:rPr>
                <w:sz w:val="18"/>
              </w:rPr>
              <w:t>(4,616</w:t>
            </w:r>
          </w:p>
        </w:tc>
        <w:tc>
          <w:tcPr>
            <w:tcW w:w="82" w:type="dxa"/>
            <w:tcBorders/>
            <w:shd w:fill="FFFFFF" w:val="clear"/>
            <w:vAlign w:val="center"/>
          </w:tcPr>
          <w:p>
            <w:pPr>
              <w:pStyle w:val="TableContents"/>
              <w:bidi w:val="0"/>
              <w:spacing w:before="0" w:after="283"/>
              <w:jc w:val="left"/>
              <w:rPr>
                <w:sz w:val="18"/>
              </w:rPr>
            </w:pPr>
            <w:r>
              <w:rPr>
                <w:sz w:val="18"/>
              </w:rPr>
              <w:t>)</w:t>
            </w:r>
          </w:p>
        </w:tc>
        <w:tc>
          <w:tcPr>
            <w:tcW w:w="61" w:type="dxa"/>
            <w:tcBorders/>
            <w:shd w:fill="FFFFFF" w:val="clear"/>
            <w:vAlign w:val="center"/>
          </w:tcPr>
          <w:p>
            <w:pPr>
              <w:pStyle w:val="TableContents"/>
              <w:bidi w:val="0"/>
              <w:spacing w:before="0" w:after="283"/>
              <w:jc w:val="left"/>
              <w:rPr/>
            </w:pPr>
            <w:r>
              <w:rPr/>
              <w:t> </w:t>
            </w:r>
          </w:p>
        </w:tc>
        <w:tc>
          <w:tcPr>
            <w:tcW w:w="113" w:type="dxa"/>
            <w:tcBorders/>
            <w:shd w:fill="FFFFFF" w:val="clear"/>
            <w:vAlign w:val="center"/>
          </w:tcPr>
          <w:p>
            <w:pPr>
              <w:pStyle w:val="TableContents"/>
              <w:bidi w:val="0"/>
              <w:spacing w:before="0" w:after="283"/>
              <w:jc w:val="left"/>
              <w:rPr/>
            </w:pPr>
            <w:r>
              <w:rPr/>
              <w:t> </w:t>
            </w:r>
          </w:p>
        </w:tc>
        <w:tc>
          <w:tcPr>
            <w:tcW w:w="857" w:type="dxa"/>
            <w:tcBorders/>
            <w:shd w:fill="FFFFFF" w:val="clear"/>
            <w:vAlign w:val="center"/>
          </w:tcPr>
          <w:p>
            <w:pPr>
              <w:pStyle w:val="TableContents"/>
              <w:bidi w:val="0"/>
              <w:spacing w:before="0" w:after="283"/>
              <w:jc w:val="right"/>
              <w:rPr>
                <w:sz w:val="18"/>
              </w:rPr>
            </w:pPr>
            <w:r>
              <w:rPr>
                <w:sz w:val="18"/>
              </w:rPr>
              <w:t>(11,211</w:t>
            </w:r>
          </w:p>
        </w:tc>
        <w:tc>
          <w:tcPr>
            <w:tcW w:w="80" w:type="dxa"/>
            <w:tcBorders/>
            <w:shd w:fill="FFFFFF" w:val="clear"/>
            <w:vAlign w:val="center"/>
          </w:tcPr>
          <w:p>
            <w:pPr>
              <w:pStyle w:val="TableContents"/>
              <w:bidi w:val="0"/>
              <w:spacing w:before="0" w:after="283"/>
              <w:jc w:val="left"/>
              <w:rPr>
                <w:sz w:val="18"/>
              </w:rPr>
            </w:pPr>
            <w:r>
              <w:rPr>
                <w:sz w:val="18"/>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sz w:val="18"/>
              </w:rPr>
            </w:pPr>
            <w:r>
              <w:rPr>
                <w:sz w:val="18"/>
              </w:rPr>
              <w:t>(11,129</w:t>
            </w:r>
          </w:p>
        </w:tc>
        <w:tc>
          <w:tcPr>
            <w:tcW w:w="80" w:type="dxa"/>
            <w:tcBorders/>
            <w:shd w:fill="FFFFFF" w:val="clear"/>
            <w:vAlign w:val="center"/>
          </w:tcPr>
          <w:p>
            <w:pPr>
              <w:pStyle w:val="TableContents"/>
              <w:bidi w:val="0"/>
              <w:spacing w:before="0" w:after="283"/>
              <w:jc w:val="left"/>
              <w:rPr>
                <w:sz w:val="18"/>
              </w:rPr>
            </w:pPr>
            <w:r>
              <w:rPr>
                <w:sz w:val="18"/>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30" w:type="dxa"/>
            <w:tcBorders/>
            <w:shd w:fill="FFFFFF" w:val="clear"/>
            <w:vAlign w:val="center"/>
          </w:tcPr>
          <w:p>
            <w:pPr>
              <w:pStyle w:val="TableContents"/>
              <w:bidi w:val="0"/>
              <w:spacing w:before="0" w:after="283"/>
              <w:jc w:val="right"/>
              <w:rPr>
                <w:sz w:val="18"/>
              </w:rPr>
            </w:pPr>
            <w:r>
              <w:rPr>
                <w:sz w:val="18"/>
              </w:rPr>
              <w:t>(21,122</w:t>
            </w:r>
          </w:p>
        </w:tc>
        <w:tc>
          <w:tcPr>
            <w:tcW w:w="95" w:type="dxa"/>
            <w:tcBorders/>
            <w:shd w:fill="FFFFFF" w:val="clear"/>
            <w:vAlign w:val="center"/>
          </w:tcPr>
          <w:p>
            <w:pPr>
              <w:pStyle w:val="TableContents"/>
              <w:bidi w:val="0"/>
              <w:spacing w:before="0" w:after="283"/>
              <w:ind w:left="0" w:right="0" w:hanging="144"/>
              <w:jc w:val="left"/>
              <w:rPr>
                <w:sz w:val="18"/>
              </w:rPr>
            </w:pPr>
            <w:r>
              <w:rPr>
                <w:sz w:val="18"/>
              </w:rPr>
              <w:t>)</w:t>
            </w:r>
          </w:p>
        </w:tc>
      </w:tr>
      <w:tr>
        <w:trPr/>
        <w:tc>
          <w:tcPr>
            <w:tcW w:w="5345" w:type="dxa"/>
            <w:tcBorders/>
            <w:shd w:fill="CCEEFF" w:val="clear"/>
            <w:vAlign w:val="center"/>
          </w:tcPr>
          <w:p>
            <w:pPr>
              <w:pStyle w:val="TableContents"/>
              <w:bidi w:val="0"/>
              <w:spacing w:before="0" w:after="283"/>
              <w:jc w:val="left"/>
              <w:rPr>
                <w:sz w:val="20"/>
              </w:rPr>
            </w:pPr>
            <w:r>
              <w:rPr>
                <w:sz w:val="20"/>
              </w:rPr>
              <w:t>Other non-operating expense (income)</w:t>
            </w:r>
          </w:p>
        </w:tc>
        <w:tc>
          <w:tcPr>
            <w:tcW w:w="60" w:type="dxa"/>
            <w:tcBorders/>
            <w:shd w:fill="CCEEFF" w:val="clear"/>
            <w:vAlign w:val="center"/>
          </w:tcPr>
          <w:p>
            <w:pPr>
              <w:pStyle w:val="TableContents"/>
              <w:bidi w:val="0"/>
              <w:spacing w:before="0" w:after="283"/>
              <w:jc w:val="left"/>
              <w:rPr/>
            </w:pPr>
            <w:r>
              <w:rPr/>
              <w:t> </w:t>
            </w:r>
          </w:p>
        </w:tc>
        <w:tc>
          <w:tcPr>
            <w:tcW w:w="113"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pPr>
            <w:r>
              <w:rPr/>
              <w:t> </w:t>
            </w:r>
          </w:p>
        </w:tc>
        <w:tc>
          <w:tcPr>
            <w:tcW w:w="82"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13" w:type="dxa"/>
            <w:tcBorders/>
            <w:shd w:fill="CCEEFF" w:val="clear"/>
            <w:vAlign w:val="center"/>
          </w:tcPr>
          <w:p>
            <w:pPr>
              <w:pStyle w:val="TableContents"/>
              <w:bidi w:val="0"/>
              <w:spacing w:before="0" w:after="283"/>
              <w:jc w:val="left"/>
              <w:rPr/>
            </w:pPr>
            <w:r>
              <w:rPr/>
              <w:t> </w:t>
            </w:r>
          </w:p>
        </w:tc>
        <w:tc>
          <w:tcPr>
            <w:tcW w:w="857"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2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ind w:left="0" w:right="0" w:hanging="144"/>
              <w:jc w:val="left"/>
              <w:rPr/>
            </w:pPr>
            <w:r>
              <w:rPr/>
              <w:t> </w:t>
            </w:r>
          </w:p>
        </w:tc>
      </w:tr>
      <w:tr>
        <w:trPr/>
        <w:tc>
          <w:tcPr>
            <w:tcW w:w="5345" w:type="dxa"/>
            <w:tcBorders/>
            <w:shd w:fill="FFFFFF" w:val="clear"/>
            <w:vAlign w:val="center"/>
          </w:tcPr>
          <w:p>
            <w:pPr>
              <w:pStyle w:val="TableContents"/>
              <w:bidi w:val="0"/>
              <w:spacing w:before="0" w:after="283"/>
              <w:jc w:val="left"/>
              <w:rPr>
                <w:sz w:val="20"/>
              </w:rPr>
            </w:pPr>
            <w:r>
              <w:rPr>
                <w:sz w:val="20"/>
              </w:rPr>
              <w:t>Interest expense, net</w:t>
            </w:r>
          </w:p>
        </w:tc>
        <w:tc>
          <w:tcPr>
            <w:tcW w:w="60" w:type="dxa"/>
            <w:tcBorders/>
            <w:shd w:fill="FFFFFF" w:val="clear"/>
            <w:vAlign w:val="center"/>
          </w:tcPr>
          <w:p>
            <w:pPr>
              <w:pStyle w:val="TableContents"/>
              <w:bidi w:val="0"/>
              <w:spacing w:before="0" w:after="283"/>
              <w:jc w:val="left"/>
              <w:rPr/>
            </w:pPr>
            <w:r>
              <w:rPr/>
              <w:t> </w:t>
            </w:r>
          </w:p>
        </w:tc>
        <w:tc>
          <w:tcPr>
            <w:tcW w:w="113"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sz w:val="18"/>
              </w:rPr>
            </w:pPr>
            <w:r>
              <w:rPr>
                <w:sz w:val="18"/>
              </w:rPr>
              <w:t>1,859</w:t>
            </w:r>
          </w:p>
        </w:tc>
        <w:tc>
          <w:tcPr>
            <w:tcW w:w="82"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13" w:type="dxa"/>
            <w:tcBorders/>
            <w:shd w:fill="FFFFFF" w:val="clear"/>
            <w:vAlign w:val="center"/>
          </w:tcPr>
          <w:p>
            <w:pPr>
              <w:pStyle w:val="TableContents"/>
              <w:bidi w:val="0"/>
              <w:spacing w:before="0" w:after="283"/>
              <w:jc w:val="left"/>
              <w:rPr/>
            </w:pPr>
            <w:r>
              <w:rPr/>
              <w:t> </w:t>
            </w:r>
          </w:p>
        </w:tc>
        <w:tc>
          <w:tcPr>
            <w:tcW w:w="857" w:type="dxa"/>
            <w:tcBorders/>
            <w:shd w:fill="FFFFFF" w:val="clear"/>
            <w:vAlign w:val="center"/>
          </w:tcPr>
          <w:p>
            <w:pPr>
              <w:pStyle w:val="TableContents"/>
              <w:bidi w:val="0"/>
              <w:spacing w:before="0" w:after="283"/>
              <w:jc w:val="right"/>
              <w:rPr>
                <w:sz w:val="18"/>
              </w:rPr>
            </w:pPr>
            <w:r>
              <w:rPr>
                <w:sz w:val="18"/>
              </w:rPr>
              <w:t>1,870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sz w:val="18"/>
              </w:rPr>
            </w:pPr>
            <w:r>
              <w:rPr>
                <w:sz w:val="18"/>
              </w:rPr>
              <w:t>3,793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30" w:type="dxa"/>
            <w:tcBorders/>
            <w:shd w:fill="FFFFFF" w:val="clear"/>
            <w:vAlign w:val="center"/>
          </w:tcPr>
          <w:p>
            <w:pPr>
              <w:pStyle w:val="TableContents"/>
              <w:bidi w:val="0"/>
              <w:spacing w:before="0" w:after="283"/>
              <w:jc w:val="right"/>
              <w:rPr>
                <w:sz w:val="18"/>
              </w:rPr>
            </w:pPr>
            <w:r>
              <w:rPr>
                <w:sz w:val="18"/>
              </w:rPr>
              <w:t>7,440</w:t>
            </w:r>
          </w:p>
        </w:tc>
        <w:tc>
          <w:tcPr>
            <w:tcW w:w="95" w:type="dxa"/>
            <w:tcBorders/>
            <w:shd w:fill="FFFFFF" w:val="clear"/>
            <w:vAlign w:val="center"/>
          </w:tcPr>
          <w:p>
            <w:pPr>
              <w:pStyle w:val="TableContents"/>
              <w:bidi w:val="0"/>
              <w:spacing w:before="0" w:after="283"/>
              <w:ind w:left="0" w:right="0" w:hanging="144"/>
              <w:jc w:val="left"/>
              <w:rPr/>
            </w:pPr>
            <w:r>
              <w:rPr/>
              <w:t> </w:t>
            </w:r>
          </w:p>
        </w:tc>
      </w:tr>
      <w:tr>
        <w:trPr/>
        <w:tc>
          <w:tcPr>
            <w:tcW w:w="5345" w:type="dxa"/>
            <w:tcBorders/>
            <w:shd w:fill="CCEEFF" w:val="clear"/>
            <w:vAlign w:val="center"/>
          </w:tcPr>
          <w:p>
            <w:pPr>
              <w:pStyle w:val="TableContents"/>
              <w:bidi w:val="0"/>
              <w:spacing w:before="0" w:after="283"/>
              <w:jc w:val="left"/>
              <w:rPr>
                <w:sz w:val="20"/>
              </w:rPr>
            </w:pPr>
            <w:r>
              <w:rPr>
                <w:sz w:val="20"/>
              </w:rPr>
              <w:t>Change in fair value of derivative warrant liabilities</w:t>
            </w:r>
          </w:p>
        </w:tc>
        <w:tc>
          <w:tcPr>
            <w:tcW w:w="60" w:type="dxa"/>
            <w:tcBorders/>
            <w:shd w:fill="CCEEFF" w:val="clear"/>
            <w:vAlign w:val="center"/>
          </w:tcPr>
          <w:p>
            <w:pPr>
              <w:pStyle w:val="TableContents"/>
              <w:bidi w:val="0"/>
              <w:spacing w:before="0" w:after="283"/>
              <w:jc w:val="left"/>
              <w:rPr/>
            </w:pPr>
            <w:r>
              <w:rPr/>
              <w:t> </w:t>
            </w:r>
          </w:p>
        </w:tc>
        <w:tc>
          <w:tcPr>
            <w:tcW w:w="113"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sz w:val="18"/>
              </w:rPr>
            </w:pPr>
            <w:r>
              <w:rPr>
                <w:sz w:val="18"/>
              </w:rPr>
              <w:t>(6</w:t>
            </w:r>
          </w:p>
        </w:tc>
        <w:tc>
          <w:tcPr>
            <w:tcW w:w="82" w:type="dxa"/>
            <w:tcBorders/>
            <w:shd w:fill="CCEEFF" w:val="clear"/>
            <w:vAlign w:val="center"/>
          </w:tcPr>
          <w:p>
            <w:pPr>
              <w:pStyle w:val="TableContents"/>
              <w:bidi w:val="0"/>
              <w:spacing w:before="0" w:after="283"/>
              <w:jc w:val="left"/>
              <w:rPr>
                <w:sz w:val="18"/>
              </w:rPr>
            </w:pPr>
            <w:r>
              <w:rPr>
                <w:sz w:val="18"/>
              </w:rPr>
              <w:t>)</w:t>
            </w:r>
          </w:p>
        </w:tc>
        <w:tc>
          <w:tcPr>
            <w:tcW w:w="61" w:type="dxa"/>
            <w:tcBorders/>
            <w:shd w:fill="CCEEFF" w:val="clear"/>
            <w:vAlign w:val="center"/>
          </w:tcPr>
          <w:p>
            <w:pPr>
              <w:pStyle w:val="TableContents"/>
              <w:bidi w:val="0"/>
              <w:spacing w:before="0" w:after="283"/>
              <w:jc w:val="left"/>
              <w:rPr/>
            </w:pPr>
            <w:r>
              <w:rPr/>
              <w:t> </w:t>
            </w:r>
          </w:p>
        </w:tc>
        <w:tc>
          <w:tcPr>
            <w:tcW w:w="113" w:type="dxa"/>
            <w:tcBorders/>
            <w:shd w:fill="CCEEFF" w:val="clear"/>
            <w:vAlign w:val="center"/>
          </w:tcPr>
          <w:p>
            <w:pPr>
              <w:pStyle w:val="TableContents"/>
              <w:bidi w:val="0"/>
              <w:spacing w:before="0" w:after="283"/>
              <w:jc w:val="left"/>
              <w:rPr/>
            </w:pPr>
            <w:r>
              <w:rPr/>
              <w:t> </w:t>
            </w:r>
          </w:p>
        </w:tc>
        <w:tc>
          <w:tcPr>
            <w:tcW w:w="857" w:type="dxa"/>
            <w:tcBorders/>
            <w:shd w:fill="CCEEFF" w:val="clear"/>
            <w:vAlign w:val="center"/>
          </w:tcPr>
          <w:p>
            <w:pPr>
              <w:pStyle w:val="TableContents"/>
              <w:bidi w:val="0"/>
              <w:spacing w:before="0" w:after="283"/>
              <w:jc w:val="right"/>
              <w:rPr>
                <w:sz w:val="18"/>
              </w:rPr>
            </w:pPr>
            <w:r>
              <w:rPr>
                <w:sz w:val="18"/>
              </w:rPr>
              <w:t>53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20" w:type="dxa"/>
            <w:tcBorders/>
            <w:shd w:fill="CCEEFF" w:val="clear"/>
            <w:vAlign w:val="center"/>
          </w:tcPr>
          <w:p>
            <w:pPr>
              <w:pStyle w:val="TableContents"/>
              <w:bidi w:val="0"/>
              <w:spacing w:before="0" w:after="283"/>
              <w:jc w:val="right"/>
              <w:rPr>
                <w:sz w:val="18"/>
              </w:rPr>
            </w:pPr>
            <w:r>
              <w:rPr>
                <w:sz w:val="18"/>
              </w:rPr>
              <w:t>(174</w:t>
            </w:r>
          </w:p>
        </w:tc>
        <w:tc>
          <w:tcPr>
            <w:tcW w:w="80" w:type="dxa"/>
            <w:tcBorders/>
            <w:shd w:fill="CCEEFF" w:val="clear"/>
            <w:vAlign w:val="center"/>
          </w:tcPr>
          <w:p>
            <w:pPr>
              <w:pStyle w:val="TableContents"/>
              <w:bidi w:val="0"/>
              <w:spacing w:before="0" w:after="283"/>
              <w:jc w:val="left"/>
              <w:rPr>
                <w:sz w:val="18"/>
              </w:rPr>
            </w:pPr>
            <w:r>
              <w:rPr>
                <w:sz w:val="18"/>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sz w:val="18"/>
              </w:rPr>
            </w:pPr>
            <w:r>
              <w:rPr>
                <w:sz w:val="18"/>
              </w:rPr>
              <w:t>96</w:t>
            </w:r>
          </w:p>
        </w:tc>
        <w:tc>
          <w:tcPr>
            <w:tcW w:w="95" w:type="dxa"/>
            <w:tcBorders/>
            <w:shd w:fill="CCEEFF" w:val="clear"/>
            <w:vAlign w:val="center"/>
          </w:tcPr>
          <w:p>
            <w:pPr>
              <w:pStyle w:val="TableContents"/>
              <w:bidi w:val="0"/>
              <w:spacing w:before="0" w:after="283"/>
              <w:ind w:left="0" w:right="0" w:hanging="144"/>
              <w:jc w:val="left"/>
              <w:rPr/>
            </w:pPr>
            <w:r>
              <w:rPr/>
              <w:t> </w:t>
            </w:r>
          </w:p>
        </w:tc>
      </w:tr>
      <w:tr>
        <w:trPr/>
        <w:tc>
          <w:tcPr>
            <w:tcW w:w="5345" w:type="dxa"/>
            <w:tcBorders/>
            <w:shd w:fill="FFFFFF" w:val="clear"/>
            <w:vAlign w:val="center"/>
          </w:tcPr>
          <w:p>
            <w:pPr>
              <w:pStyle w:val="TableContents"/>
              <w:bidi w:val="0"/>
              <w:spacing w:before="0" w:after="283"/>
              <w:jc w:val="left"/>
              <w:rPr>
                <w:sz w:val="20"/>
              </w:rPr>
            </w:pPr>
            <w:r>
              <w:rPr>
                <w:sz w:val="20"/>
              </w:rPr>
              <w:t>Change in fair value of conversion option derivative liabilities</w:t>
            </w:r>
          </w:p>
        </w:tc>
        <w:tc>
          <w:tcPr>
            <w:tcW w:w="60" w:type="dxa"/>
            <w:tcBorders/>
            <w:shd w:fill="FFFFFF" w:val="clear"/>
            <w:vAlign w:val="center"/>
          </w:tcPr>
          <w:p>
            <w:pPr>
              <w:pStyle w:val="TableContents"/>
              <w:bidi w:val="0"/>
              <w:spacing w:before="0" w:after="283"/>
              <w:jc w:val="left"/>
              <w:rPr/>
            </w:pPr>
            <w:r>
              <w:rPr/>
              <w:t> </w:t>
            </w:r>
          </w:p>
        </w:tc>
        <w:tc>
          <w:tcPr>
            <w:tcW w:w="113"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sz w:val="18"/>
              </w:rPr>
            </w:pPr>
            <w:r>
              <w:rPr>
                <w:sz w:val="18"/>
              </w:rPr>
              <w:t>3,243</w:t>
            </w:r>
          </w:p>
        </w:tc>
        <w:tc>
          <w:tcPr>
            <w:tcW w:w="82"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13" w:type="dxa"/>
            <w:tcBorders/>
            <w:shd w:fill="FFFFFF" w:val="clear"/>
            <w:vAlign w:val="center"/>
          </w:tcPr>
          <w:p>
            <w:pPr>
              <w:pStyle w:val="TableContents"/>
              <w:bidi w:val="0"/>
              <w:spacing w:before="0" w:after="283"/>
              <w:jc w:val="left"/>
              <w:rPr/>
            </w:pPr>
            <w:r>
              <w:rPr/>
              <w:t> </w:t>
            </w:r>
          </w:p>
        </w:tc>
        <w:tc>
          <w:tcPr>
            <w:tcW w:w="857" w:type="dxa"/>
            <w:tcBorders/>
            <w:shd w:fill="FFFFFF" w:val="clear"/>
            <w:vAlign w:val="center"/>
          </w:tcPr>
          <w:p>
            <w:pPr>
              <w:pStyle w:val="TableContents"/>
              <w:bidi w:val="0"/>
              <w:spacing w:before="0" w:after="283"/>
              <w:jc w:val="right"/>
              <w:rPr>
                <w:sz w:val="18"/>
              </w:rPr>
            </w:pPr>
            <w:r>
              <w:rPr>
                <w:sz w:val="18"/>
              </w:rPr>
              <w:t>3,987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sz w:val="18"/>
              </w:rPr>
            </w:pPr>
            <w:r>
              <w:rPr>
                <w:sz w:val="18"/>
              </w:rPr>
              <w:t>(1,753</w:t>
            </w:r>
          </w:p>
        </w:tc>
        <w:tc>
          <w:tcPr>
            <w:tcW w:w="80" w:type="dxa"/>
            <w:tcBorders/>
            <w:shd w:fill="FFFFFF" w:val="clear"/>
            <w:vAlign w:val="center"/>
          </w:tcPr>
          <w:p>
            <w:pPr>
              <w:pStyle w:val="TableContents"/>
              <w:bidi w:val="0"/>
              <w:spacing w:before="0" w:after="283"/>
              <w:jc w:val="left"/>
              <w:rPr>
                <w:sz w:val="18"/>
              </w:rPr>
            </w:pPr>
            <w:r>
              <w:rPr>
                <w:sz w:val="18"/>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30" w:type="dxa"/>
            <w:tcBorders/>
            <w:shd w:fill="FFFFFF" w:val="clear"/>
            <w:vAlign w:val="center"/>
          </w:tcPr>
          <w:p>
            <w:pPr>
              <w:pStyle w:val="TableContents"/>
              <w:bidi w:val="0"/>
              <w:spacing w:before="0" w:after="283"/>
              <w:jc w:val="right"/>
              <w:rPr>
                <w:sz w:val="18"/>
              </w:rPr>
            </w:pPr>
            <w:r>
              <w:rPr>
                <w:sz w:val="18"/>
              </w:rPr>
              <w:t>7,296</w:t>
            </w:r>
          </w:p>
        </w:tc>
        <w:tc>
          <w:tcPr>
            <w:tcW w:w="95" w:type="dxa"/>
            <w:tcBorders/>
            <w:shd w:fill="FFFFFF" w:val="clear"/>
            <w:vAlign w:val="center"/>
          </w:tcPr>
          <w:p>
            <w:pPr>
              <w:pStyle w:val="TableContents"/>
              <w:bidi w:val="0"/>
              <w:spacing w:before="0" w:after="283"/>
              <w:ind w:left="0" w:right="0" w:hanging="144"/>
              <w:jc w:val="left"/>
              <w:rPr/>
            </w:pPr>
            <w:r>
              <w:rPr/>
              <w:t> </w:t>
            </w:r>
          </w:p>
        </w:tc>
      </w:tr>
      <w:tr>
        <w:trPr/>
        <w:tc>
          <w:tcPr>
            <w:tcW w:w="5345" w:type="dxa"/>
            <w:tcBorders/>
            <w:shd w:fill="CCEEFF" w:val="clear"/>
            <w:vAlign w:val="center"/>
          </w:tcPr>
          <w:p>
            <w:pPr>
              <w:pStyle w:val="TableContents"/>
              <w:bidi w:val="0"/>
              <w:spacing w:before="0" w:after="283"/>
              <w:jc w:val="left"/>
              <w:rPr>
                <w:sz w:val="20"/>
              </w:rPr>
            </w:pPr>
            <w:r>
              <w:rPr>
                <w:sz w:val="20"/>
              </w:rPr>
              <w:t>Other, net</w:t>
            </w:r>
          </w:p>
        </w:tc>
        <w:tc>
          <w:tcPr>
            <w:tcW w:w="60" w:type="dxa"/>
            <w:tcBorders/>
            <w:shd w:fill="CCEEFF" w:val="clear"/>
            <w:vAlign w:val="center"/>
          </w:tcPr>
          <w:p>
            <w:pPr>
              <w:pStyle w:val="TableContents"/>
              <w:bidi w:val="0"/>
              <w:spacing w:before="0" w:after="283"/>
              <w:jc w:val="left"/>
              <w:rPr/>
            </w:pPr>
            <w:r>
              <w:rPr/>
              <w:t> </w:t>
            </w:r>
          </w:p>
        </w:tc>
        <w:tc>
          <w:tcPr>
            <w:tcW w:w="11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50" w:type="dxa"/>
            <w:tcBorders>
              <w:bottom w:val="single" w:sz="8" w:space="0" w:color="000000"/>
            </w:tcBorders>
            <w:shd w:fill="CCEEFF" w:val="clear"/>
            <w:tcMar>
              <w:bottom w:w="28" w:type="dxa"/>
            </w:tcMar>
            <w:vAlign w:val="center"/>
          </w:tcPr>
          <w:p>
            <w:pPr>
              <w:pStyle w:val="TableContents"/>
              <w:bidi w:val="0"/>
              <w:spacing w:before="0" w:after="283"/>
              <w:jc w:val="right"/>
              <w:rPr>
                <w:sz w:val="18"/>
              </w:rPr>
            </w:pPr>
            <w:r>
              <w:rPr>
                <w:sz w:val="18"/>
              </w:rPr>
              <w:t>77</w:t>
            </w:r>
          </w:p>
        </w:tc>
        <w:tc>
          <w:tcPr>
            <w:tcW w:w="82"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1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57" w:type="dxa"/>
            <w:tcBorders>
              <w:bottom w:val="single" w:sz="8" w:space="0" w:color="000000"/>
            </w:tcBorders>
            <w:shd w:fill="CCEEFF" w:val="clear"/>
            <w:tcMar>
              <w:bottom w:w="28" w:type="dxa"/>
            </w:tcMar>
            <w:vAlign w:val="center"/>
          </w:tcPr>
          <w:p>
            <w:pPr>
              <w:pStyle w:val="TableContents"/>
              <w:bidi w:val="0"/>
              <w:spacing w:before="0" w:after="283"/>
              <w:jc w:val="right"/>
              <w:rPr>
                <w:sz w:val="18"/>
              </w:rPr>
            </w:pPr>
            <w:r>
              <w:rPr>
                <w:sz w:val="18"/>
              </w:rPr>
              <w:t>19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20" w:type="dxa"/>
            <w:tcBorders>
              <w:bottom w:val="single" w:sz="8" w:space="0" w:color="000000"/>
            </w:tcBorders>
            <w:shd w:fill="CCEEFF" w:val="clear"/>
            <w:tcMar>
              <w:bottom w:w="28" w:type="dxa"/>
            </w:tcMar>
            <w:vAlign w:val="center"/>
          </w:tcPr>
          <w:p>
            <w:pPr>
              <w:pStyle w:val="TableContents"/>
              <w:bidi w:val="0"/>
              <w:spacing w:before="0" w:after="283"/>
              <w:jc w:val="right"/>
              <w:rPr>
                <w:sz w:val="18"/>
              </w:rPr>
            </w:pPr>
            <w:r>
              <w:rPr>
                <w:sz w:val="18"/>
              </w:rPr>
              <w:t>(714</w:t>
            </w:r>
          </w:p>
        </w:tc>
        <w:tc>
          <w:tcPr>
            <w:tcW w:w="80" w:type="dxa"/>
            <w:tcBorders/>
            <w:shd w:fill="CCEEFF" w:val="clear"/>
            <w:vAlign w:val="center"/>
          </w:tcPr>
          <w:p>
            <w:pPr>
              <w:pStyle w:val="TableContents"/>
              <w:bidi w:val="0"/>
              <w:spacing w:before="0" w:after="283"/>
              <w:jc w:val="left"/>
              <w:rPr>
                <w:sz w:val="18"/>
              </w:rPr>
            </w:pPr>
            <w:r>
              <w:rPr>
                <w:sz w:val="18"/>
              </w:rPr>
              <w: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30" w:type="dxa"/>
            <w:tcBorders>
              <w:bottom w:val="single" w:sz="8" w:space="0" w:color="000000"/>
            </w:tcBorders>
            <w:shd w:fill="CCEEFF" w:val="clear"/>
            <w:tcMar>
              <w:bottom w:w="28" w:type="dxa"/>
            </w:tcMar>
            <w:vAlign w:val="center"/>
          </w:tcPr>
          <w:p>
            <w:pPr>
              <w:pStyle w:val="TableContents"/>
              <w:bidi w:val="0"/>
              <w:spacing w:before="0" w:after="283"/>
              <w:jc w:val="right"/>
              <w:rPr>
                <w:sz w:val="18"/>
              </w:rPr>
            </w:pPr>
            <w:r>
              <w:rPr>
                <w:sz w:val="18"/>
              </w:rPr>
              <w:t>771</w:t>
            </w:r>
          </w:p>
        </w:tc>
        <w:tc>
          <w:tcPr>
            <w:tcW w:w="95" w:type="dxa"/>
            <w:tcBorders/>
            <w:shd w:fill="CCEEFF" w:val="clear"/>
            <w:vAlign w:val="center"/>
          </w:tcPr>
          <w:p>
            <w:pPr>
              <w:pStyle w:val="TableContents"/>
              <w:bidi w:val="0"/>
              <w:spacing w:before="0" w:after="283"/>
              <w:ind w:left="0" w:right="0" w:hanging="144"/>
              <w:jc w:val="left"/>
              <w:rPr/>
            </w:pPr>
            <w:r>
              <w:rPr/>
              <w:t> </w:t>
            </w:r>
          </w:p>
        </w:tc>
      </w:tr>
      <w:tr>
        <w:trPr/>
        <w:tc>
          <w:tcPr>
            <w:tcW w:w="5345" w:type="dxa"/>
            <w:tcBorders/>
            <w:shd w:fill="FFFFFF" w:val="clear"/>
            <w:vAlign w:val="center"/>
          </w:tcPr>
          <w:p>
            <w:pPr>
              <w:pStyle w:val="TableContents"/>
              <w:bidi w:val="0"/>
              <w:spacing w:before="0" w:after="283"/>
              <w:jc w:val="left"/>
              <w:rPr>
                <w:b/>
                <w:sz w:val="20"/>
              </w:rPr>
            </w:pPr>
            <w:r>
              <w:rPr>
                <w:b/>
                <w:sz w:val="20"/>
              </w:rPr>
              <w:t>Total other non-operating expense (income)</w:t>
            </w:r>
          </w:p>
        </w:tc>
        <w:tc>
          <w:tcPr>
            <w:tcW w:w="60" w:type="dxa"/>
            <w:tcBorders/>
            <w:shd w:fill="FFFFFF" w:val="clear"/>
            <w:vAlign w:val="center"/>
          </w:tcPr>
          <w:p>
            <w:pPr>
              <w:pStyle w:val="TableContents"/>
              <w:bidi w:val="0"/>
              <w:spacing w:before="0" w:after="283"/>
              <w:jc w:val="left"/>
              <w:rPr/>
            </w:pPr>
            <w:r>
              <w:rPr/>
              <w:t> </w:t>
            </w:r>
          </w:p>
        </w:tc>
        <w:tc>
          <w:tcPr>
            <w:tcW w:w="11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50" w:type="dxa"/>
            <w:tcBorders>
              <w:bottom w:val="single" w:sz="8" w:space="0" w:color="000000"/>
            </w:tcBorders>
            <w:shd w:fill="FFFFFF" w:val="clear"/>
            <w:tcMar>
              <w:bottom w:w="28" w:type="dxa"/>
            </w:tcMar>
            <w:vAlign w:val="center"/>
          </w:tcPr>
          <w:p>
            <w:pPr>
              <w:pStyle w:val="TableContents"/>
              <w:bidi w:val="0"/>
              <w:spacing w:before="0" w:after="283"/>
              <w:jc w:val="right"/>
              <w:rPr>
                <w:sz w:val="18"/>
              </w:rPr>
            </w:pPr>
            <w:r>
              <w:rPr>
                <w:sz w:val="18"/>
              </w:rPr>
              <w:t>5,173</w:t>
            </w:r>
          </w:p>
        </w:tc>
        <w:tc>
          <w:tcPr>
            <w:tcW w:w="82"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1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57" w:type="dxa"/>
            <w:tcBorders>
              <w:bottom w:val="single" w:sz="8" w:space="0" w:color="000000"/>
            </w:tcBorders>
            <w:shd w:fill="FFFFFF" w:val="clear"/>
            <w:tcMar>
              <w:bottom w:w="28" w:type="dxa"/>
            </w:tcMar>
            <w:vAlign w:val="center"/>
          </w:tcPr>
          <w:p>
            <w:pPr>
              <w:pStyle w:val="TableContents"/>
              <w:bidi w:val="0"/>
              <w:spacing w:before="0" w:after="283"/>
              <w:jc w:val="right"/>
              <w:rPr>
                <w:sz w:val="18"/>
              </w:rPr>
            </w:pPr>
            <w:r>
              <w:rPr>
                <w:sz w:val="18"/>
              </w:rPr>
              <w:t>5,929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20" w:type="dxa"/>
            <w:tcBorders>
              <w:bottom w:val="single" w:sz="8" w:space="0" w:color="000000"/>
            </w:tcBorders>
            <w:shd w:fill="FFFFFF" w:val="clear"/>
            <w:tcMar>
              <w:bottom w:w="28" w:type="dxa"/>
            </w:tcMar>
            <w:vAlign w:val="center"/>
          </w:tcPr>
          <w:p>
            <w:pPr>
              <w:pStyle w:val="TableContents"/>
              <w:bidi w:val="0"/>
              <w:spacing w:before="0" w:after="283"/>
              <w:jc w:val="right"/>
              <w:rPr>
                <w:sz w:val="18"/>
              </w:rPr>
            </w:pPr>
            <w:r>
              <w:rPr>
                <w:sz w:val="18"/>
              </w:rPr>
              <w:t>1,152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30" w:type="dxa"/>
            <w:tcBorders>
              <w:bottom w:val="single" w:sz="8" w:space="0" w:color="000000"/>
            </w:tcBorders>
            <w:shd w:fill="FFFFFF" w:val="clear"/>
            <w:tcMar>
              <w:bottom w:w="28" w:type="dxa"/>
            </w:tcMar>
            <w:vAlign w:val="center"/>
          </w:tcPr>
          <w:p>
            <w:pPr>
              <w:pStyle w:val="TableContents"/>
              <w:bidi w:val="0"/>
              <w:spacing w:before="0" w:after="283"/>
              <w:jc w:val="right"/>
              <w:rPr>
                <w:sz w:val="18"/>
              </w:rPr>
            </w:pPr>
            <w:r>
              <w:rPr>
                <w:sz w:val="18"/>
              </w:rPr>
              <w:t>15,603</w:t>
            </w:r>
          </w:p>
        </w:tc>
        <w:tc>
          <w:tcPr>
            <w:tcW w:w="95" w:type="dxa"/>
            <w:tcBorders/>
            <w:shd w:fill="FFFFFF" w:val="clear"/>
            <w:vAlign w:val="center"/>
          </w:tcPr>
          <w:p>
            <w:pPr>
              <w:pStyle w:val="TableContents"/>
              <w:bidi w:val="0"/>
              <w:spacing w:before="0" w:after="283"/>
              <w:jc w:val="left"/>
              <w:rPr/>
            </w:pPr>
            <w:r>
              <w:rPr/>
              <w:t> </w:t>
            </w:r>
          </w:p>
        </w:tc>
      </w:tr>
      <w:tr>
        <w:trPr/>
        <w:tc>
          <w:tcPr>
            <w:tcW w:w="5345" w:type="dxa"/>
            <w:tcBorders/>
            <w:shd w:fill="CCEEFF" w:val="clear"/>
            <w:vAlign w:val="center"/>
          </w:tcPr>
          <w:p>
            <w:pPr>
              <w:pStyle w:val="TableContents"/>
              <w:bidi w:val="0"/>
              <w:spacing w:before="0" w:after="283"/>
              <w:jc w:val="left"/>
              <w:rPr>
                <w:sz w:val="20"/>
              </w:rPr>
            </w:pPr>
            <w:r>
              <w:rPr>
                <w:sz w:val="20"/>
              </w:rPr>
              <w:t>Loss before provision for income taxes</w:t>
            </w:r>
          </w:p>
        </w:tc>
        <w:tc>
          <w:tcPr>
            <w:tcW w:w="60" w:type="dxa"/>
            <w:tcBorders/>
            <w:shd w:fill="CCEEFF" w:val="clear"/>
            <w:vAlign w:val="center"/>
          </w:tcPr>
          <w:p>
            <w:pPr>
              <w:pStyle w:val="TableContents"/>
              <w:bidi w:val="0"/>
              <w:spacing w:before="0" w:after="283"/>
              <w:jc w:val="left"/>
              <w:rPr/>
            </w:pPr>
            <w:r>
              <w:rPr/>
              <w:t> </w:t>
            </w:r>
          </w:p>
        </w:tc>
        <w:tc>
          <w:tcPr>
            <w:tcW w:w="113"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sz w:val="18"/>
              </w:rPr>
            </w:pPr>
            <w:r>
              <w:rPr>
                <w:sz w:val="18"/>
              </w:rPr>
              <w:t>(9,789</w:t>
            </w:r>
          </w:p>
        </w:tc>
        <w:tc>
          <w:tcPr>
            <w:tcW w:w="82" w:type="dxa"/>
            <w:tcBorders/>
            <w:shd w:fill="CCEEFF" w:val="clear"/>
            <w:vAlign w:val="center"/>
          </w:tcPr>
          <w:p>
            <w:pPr>
              <w:pStyle w:val="TableContents"/>
              <w:bidi w:val="0"/>
              <w:spacing w:before="0" w:after="283"/>
              <w:jc w:val="left"/>
              <w:rPr>
                <w:sz w:val="18"/>
              </w:rPr>
            </w:pPr>
            <w:r>
              <w:rPr>
                <w:sz w:val="18"/>
              </w:rPr>
              <w:t>)</w:t>
            </w:r>
          </w:p>
        </w:tc>
        <w:tc>
          <w:tcPr>
            <w:tcW w:w="61" w:type="dxa"/>
            <w:tcBorders/>
            <w:shd w:fill="CCEEFF" w:val="clear"/>
            <w:vAlign w:val="center"/>
          </w:tcPr>
          <w:p>
            <w:pPr>
              <w:pStyle w:val="TableContents"/>
              <w:bidi w:val="0"/>
              <w:spacing w:before="0" w:after="283"/>
              <w:jc w:val="left"/>
              <w:rPr/>
            </w:pPr>
            <w:r>
              <w:rPr/>
              <w:t> </w:t>
            </w:r>
          </w:p>
        </w:tc>
        <w:tc>
          <w:tcPr>
            <w:tcW w:w="113" w:type="dxa"/>
            <w:tcBorders/>
            <w:shd w:fill="CCEEFF" w:val="clear"/>
            <w:vAlign w:val="center"/>
          </w:tcPr>
          <w:p>
            <w:pPr>
              <w:pStyle w:val="TableContents"/>
              <w:bidi w:val="0"/>
              <w:spacing w:before="0" w:after="283"/>
              <w:jc w:val="left"/>
              <w:rPr/>
            </w:pPr>
            <w:r>
              <w:rPr/>
              <w:t> </w:t>
            </w:r>
          </w:p>
        </w:tc>
        <w:tc>
          <w:tcPr>
            <w:tcW w:w="857" w:type="dxa"/>
            <w:tcBorders/>
            <w:shd w:fill="CCEEFF" w:val="clear"/>
            <w:vAlign w:val="center"/>
          </w:tcPr>
          <w:p>
            <w:pPr>
              <w:pStyle w:val="TableContents"/>
              <w:bidi w:val="0"/>
              <w:spacing w:before="0" w:after="283"/>
              <w:jc w:val="right"/>
              <w:rPr>
                <w:sz w:val="18"/>
              </w:rPr>
            </w:pPr>
            <w:r>
              <w:rPr>
                <w:sz w:val="18"/>
              </w:rPr>
              <w:t>(17,140</w:t>
            </w:r>
          </w:p>
        </w:tc>
        <w:tc>
          <w:tcPr>
            <w:tcW w:w="80" w:type="dxa"/>
            <w:tcBorders/>
            <w:shd w:fill="CCEEFF" w:val="clear"/>
            <w:vAlign w:val="center"/>
          </w:tcPr>
          <w:p>
            <w:pPr>
              <w:pStyle w:val="TableContents"/>
              <w:bidi w:val="0"/>
              <w:spacing w:before="0" w:after="283"/>
              <w:jc w:val="left"/>
              <w:rPr>
                <w:sz w:val="18"/>
              </w:rPr>
            </w:pPr>
            <w:r>
              <w:rPr>
                <w:sz w:val="18"/>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20" w:type="dxa"/>
            <w:tcBorders/>
            <w:shd w:fill="CCEEFF" w:val="clear"/>
            <w:vAlign w:val="center"/>
          </w:tcPr>
          <w:p>
            <w:pPr>
              <w:pStyle w:val="TableContents"/>
              <w:bidi w:val="0"/>
              <w:spacing w:before="0" w:after="283"/>
              <w:jc w:val="right"/>
              <w:rPr>
                <w:sz w:val="18"/>
              </w:rPr>
            </w:pPr>
            <w:r>
              <w:rPr>
                <w:sz w:val="18"/>
              </w:rPr>
              <w:t>(12,281</w:t>
            </w:r>
          </w:p>
        </w:tc>
        <w:tc>
          <w:tcPr>
            <w:tcW w:w="80" w:type="dxa"/>
            <w:tcBorders/>
            <w:shd w:fill="CCEEFF" w:val="clear"/>
            <w:vAlign w:val="center"/>
          </w:tcPr>
          <w:p>
            <w:pPr>
              <w:pStyle w:val="TableContents"/>
              <w:bidi w:val="0"/>
              <w:spacing w:before="0" w:after="283"/>
              <w:jc w:val="left"/>
              <w:rPr>
                <w:sz w:val="18"/>
              </w:rPr>
            </w:pPr>
            <w:r>
              <w:rPr>
                <w:sz w:val="18"/>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sz w:val="18"/>
              </w:rPr>
            </w:pPr>
            <w:r>
              <w:rPr>
                <w:sz w:val="18"/>
              </w:rPr>
              <w:t>(36,725</w:t>
            </w:r>
          </w:p>
        </w:tc>
        <w:tc>
          <w:tcPr>
            <w:tcW w:w="95" w:type="dxa"/>
            <w:tcBorders/>
            <w:shd w:fill="CCEEFF" w:val="clear"/>
            <w:vAlign w:val="center"/>
          </w:tcPr>
          <w:p>
            <w:pPr>
              <w:pStyle w:val="TableContents"/>
              <w:bidi w:val="0"/>
              <w:spacing w:before="0" w:after="283"/>
              <w:ind w:left="0" w:right="0" w:hanging="144"/>
              <w:jc w:val="left"/>
              <w:rPr>
                <w:sz w:val="18"/>
              </w:rPr>
            </w:pPr>
            <w:r>
              <w:rPr>
                <w:sz w:val="18"/>
              </w:rPr>
              <w:t>)</w:t>
            </w:r>
          </w:p>
        </w:tc>
      </w:tr>
      <w:tr>
        <w:trPr/>
        <w:tc>
          <w:tcPr>
            <w:tcW w:w="5345" w:type="dxa"/>
            <w:tcBorders/>
            <w:shd w:fill="FFFFFF" w:val="clear"/>
            <w:vAlign w:val="center"/>
          </w:tcPr>
          <w:p>
            <w:pPr>
              <w:pStyle w:val="TableContents"/>
              <w:bidi w:val="0"/>
              <w:spacing w:before="0" w:after="283"/>
              <w:jc w:val="left"/>
              <w:rPr>
                <w:sz w:val="20"/>
              </w:rPr>
            </w:pPr>
            <w:r>
              <w:rPr>
                <w:sz w:val="20"/>
              </w:rPr>
              <w:t>Income tax benefit (expense)</w:t>
            </w:r>
          </w:p>
        </w:tc>
        <w:tc>
          <w:tcPr>
            <w:tcW w:w="60" w:type="dxa"/>
            <w:tcBorders/>
            <w:shd w:fill="FFFFFF" w:val="clear"/>
            <w:vAlign w:val="center"/>
          </w:tcPr>
          <w:p>
            <w:pPr>
              <w:pStyle w:val="TableContents"/>
              <w:bidi w:val="0"/>
              <w:spacing w:before="0" w:after="283"/>
              <w:jc w:val="left"/>
              <w:rPr/>
            </w:pPr>
            <w:r>
              <w:rPr/>
              <w:t> </w:t>
            </w:r>
          </w:p>
        </w:tc>
        <w:tc>
          <w:tcPr>
            <w:tcW w:w="11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5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82"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1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57" w:type="dxa"/>
            <w:tcBorders>
              <w:bottom w:val="single" w:sz="8" w:space="0" w:color="000000"/>
            </w:tcBorders>
            <w:shd w:fill="FFFFFF" w:val="clear"/>
            <w:tcMar>
              <w:bottom w:w="28" w:type="dxa"/>
            </w:tcMar>
            <w:vAlign w:val="center"/>
          </w:tcPr>
          <w:p>
            <w:pPr>
              <w:pStyle w:val="TableContents"/>
              <w:bidi w:val="0"/>
              <w:spacing w:before="0" w:after="283"/>
              <w:jc w:val="right"/>
              <w:rPr>
                <w:sz w:val="18"/>
              </w:rPr>
            </w:pPr>
            <w:r>
              <w:rPr>
                <w:sz w:val="18"/>
              </w:rPr>
              <w:t>131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2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30" w:type="dxa"/>
            <w:tcBorders>
              <w:bottom w:val="single" w:sz="8" w:space="0" w:color="000000"/>
            </w:tcBorders>
            <w:shd w:fill="FFFFFF" w:val="clear"/>
            <w:tcMar>
              <w:bottom w:w="28" w:type="dxa"/>
            </w:tcMar>
            <w:vAlign w:val="center"/>
          </w:tcPr>
          <w:p>
            <w:pPr>
              <w:pStyle w:val="TableContents"/>
              <w:bidi w:val="0"/>
              <w:spacing w:before="0" w:after="283"/>
              <w:jc w:val="right"/>
              <w:rPr>
                <w:sz w:val="18"/>
              </w:rPr>
            </w:pPr>
            <w:r>
              <w:rPr>
                <w:sz w:val="18"/>
              </w:rPr>
              <w:t>131</w:t>
            </w:r>
          </w:p>
        </w:tc>
        <w:tc>
          <w:tcPr>
            <w:tcW w:w="95" w:type="dxa"/>
            <w:tcBorders/>
            <w:shd w:fill="FFFFFF" w:val="clear"/>
            <w:vAlign w:val="center"/>
          </w:tcPr>
          <w:p>
            <w:pPr>
              <w:pStyle w:val="TableContents"/>
              <w:bidi w:val="0"/>
              <w:spacing w:before="0" w:after="283"/>
              <w:ind w:left="0" w:right="0" w:hanging="144"/>
              <w:jc w:val="left"/>
              <w:rPr/>
            </w:pPr>
            <w:r>
              <w:rPr/>
              <w:t> </w:t>
            </w:r>
          </w:p>
        </w:tc>
      </w:tr>
      <w:tr>
        <w:trPr/>
        <w:tc>
          <w:tcPr>
            <w:tcW w:w="5345" w:type="dxa"/>
            <w:tcBorders/>
            <w:shd w:fill="CCEEFF" w:val="clear"/>
            <w:vAlign w:val="center"/>
          </w:tcPr>
          <w:p>
            <w:pPr>
              <w:pStyle w:val="TableContents"/>
              <w:bidi w:val="0"/>
              <w:spacing w:before="0" w:after="283"/>
              <w:jc w:val="left"/>
              <w:rPr>
                <w:b/>
                <w:sz w:val="20"/>
              </w:rPr>
            </w:pPr>
            <w:r>
              <w:rPr>
                <w:b/>
                <w:sz w:val="20"/>
              </w:rPr>
              <w:t>Net loss</w:t>
            </w:r>
          </w:p>
        </w:tc>
        <w:tc>
          <w:tcPr>
            <w:tcW w:w="60" w:type="dxa"/>
            <w:tcBorders/>
            <w:shd w:fill="CCEEFF" w:val="clear"/>
            <w:vAlign w:val="center"/>
          </w:tcPr>
          <w:p>
            <w:pPr>
              <w:pStyle w:val="TableContents"/>
              <w:bidi w:val="0"/>
              <w:spacing w:before="0" w:after="283"/>
              <w:jc w:val="left"/>
              <w:rPr/>
            </w:pPr>
            <w:r>
              <w:rPr/>
              <w:t> </w:t>
            </w:r>
          </w:p>
        </w:tc>
        <w:tc>
          <w:tcPr>
            <w:tcW w:w="113" w:type="dxa"/>
            <w:tcBorders>
              <w:bottom w:val="double" w:sz="6" w:space="0" w:color="000000"/>
            </w:tcBorders>
            <w:shd w:fill="CCEEFF" w:val="clear"/>
            <w:tcMar>
              <w:bottom w:w="28" w:type="dxa"/>
            </w:tcMar>
            <w:vAlign w:val="center"/>
          </w:tcPr>
          <w:p>
            <w:pPr>
              <w:pStyle w:val="TableContents"/>
              <w:bidi w:val="0"/>
              <w:spacing w:before="0" w:after="283"/>
              <w:jc w:val="left"/>
              <w:rPr>
                <w:sz w:val="18"/>
              </w:rPr>
            </w:pPr>
            <w:r>
              <w:rPr>
                <w:sz w:val="18"/>
              </w:rPr>
              <w:t>$</w:t>
            </w:r>
          </w:p>
        </w:tc>
        <w:tc>
          <w:tcPr>
            <w:tcW w:w="950" w:type="dxa"/>
            <w:tcBorders>
              <w:bottom w:val="double" w:sz="6" w:space="0" w:color="000000"/>
            </w:tcBorders>
            <w:shd w:fill="CCEEFF" w:val="clear"/>
            <w:tcMar>
              <w:bottom w:w="28" w:type="dxa"/>
            </w:tcMar>
            <w:vAlign w:val="center"/>
          </w:tcPr>
          <w:p>
            <w:pPr>
              <w:pStyle w:val="TableContents"/>
              <w:bidi w:val="0"/>
              <w:spacing w:before="0" w:after="283"/>
              <w:jc w:val="right"/>
              <w:rPr>
                <w:sz w:val="18"/>
              </w:rPr>
            </w:pPr>
            <w:r>
              <w:rPr>
                <w:sz w:val="18"/>
              </w:rPr>
              <w:t>(9,789</w:t>
            </w:r>
          </w:p>
        </w:tc>
        <w:tc>
          <w:tcPr>
            <w:tcW w:w="82" w:type="dxa"/>
            <w:tcBorders/>
            <w:shd w:fill="CCEEFF" w:val="clear"/>
            <w:vAlign w:val="center"/>
          </w:tcPr>
          <w:p>
            <w:pPr>
              <w:pStyle w:val="TableContents"/>
              <w:bidi w:val="0"/>
              <w:spacing w:before="0" w:after="283"/>
              <w:jc w:val="left"/>
              <w:rPr>
                <w:sz w:val="18"/>
              </w:rPr>
            </w:pPr>
            <w:r>
              <w:rPr>
                <w:sz w:val="18"/>
              </w:rPr>
              <w:t>)</w:t>
            </w:r>
          </w:p>
        </w:tc>
        <w:tc>
          <w:tcPr>
            <w:tcW w:w="61" w:type="dxa"/>
            <w:tcBorders/>
            <w:shd w:fill="CCEEFF" w:val="clear"/>
            <w:vAlign w:val="center"/>
          </w:tcPr>
          <w:p>
            <w:pPr>
              <w:pStyle w:val="TableContents"/>
              <w:bidi w:val="0"/>
              <w:spacing w:before="0" w:after="283"/>
              <w:jc w:val="left"/>
              <w:rPr/>
            </w:pPr>
            <w:r>
              <w:rPr/>
              <w:t> </w:t>
            </w:r>
          </w:p>
        </w:tc>
        <w:tc>
          <w:tcPr>
            <w:tcW w:w="113" w:type="dxa"/>
            <w:tcBorders>
              <w:bottom w:val="double" w:sz="6" w:space="0" w:color="000000"/>
            </w:tcBorders>
            <w:shd w:fill="CCEEFF" w:val="clear"/>
            <w:tcMar>
              <w:bottom w:w="28" w:type="dxa"/>
            </w:tcMar>
            <w:vAlign w:val="center"/>
          </w:tcPr>
          <w:p>
            <w:pPr>
              <w:pStyle w:val="TableContents"/>
              <w:bidi w:val="0"/>
              <w:spacing w:before="0" w:after="283"/>
              <w:jc w:val="left"/>
              <w:rPr>
                <w:sz w:val="18"/>
              </w:rPr>
            </w:pPr>
            <w:r>
              <w:rPr>
                <w:sz w:val="18"/>
              </w:rPr>
              <w:t>$</w:t>
            </w:r>
          </w:p>
        </w:tc>
        <w:tc>
          <w:tcPr>
            <w:tcW w:w="857" w:type="dxa"/>
            <w:tcBorders>
              <w:bottom w:val="double" w:sz="6" w:space="0" w:color="000000"/>
            </w:tcBorders>
            <w:shd w:fill="CCEEFF" w:val="clear"/>
            <w:tcMar>
              <w:bottom w:w="28" w:type="dxa"/>
            </w:tcMar>
            <w:vAlign w:val="center"/>
          </w:tcPr>
          <w:p>
            <w:pPr>
              <w:pStyle w:val="TableContents"/>
              <w:bidi w:val="0"/>
              <w:spacing w:before="0" w:after="283"/>
              <w:jc w:val="right"/>
              <w:rPr>
                <w:sz w:val="18"/>
              </w:rPr>
            </w:pPr>
            <w:r>
              <w:rPr>
                <w:sz w:val="18"/>
              </w:rPr>
              <w:t>(17,009</w:t>
            </w:r>
          </w:p>
        </w:tc>
        <w:tc>
          <w:tcPr>
            <w:tcW w:w="80" w:type="dxa"/>
            <w:tcBorders/>
            <w:shd w:fill="CCEEFF" w:val="clear"/>
            <w:vAlign w:val="center"/>
          </w:tcPr>
          <w:p>
            <w:pPr>
              <w:pStyle w:val="TableContents"/>
              <w:bidi w:val="0"/>
              <w:spacing w:before="0" w:after="283"/>
              <w:jc w:val="left"/>
              <w:rPr>
                <w:sz w:val="18"/>
              </w:rPr>
            </w:pPr>
            <w:r>
              <w:rPr>
                <w:sz w:val="18"/>
              </w:rPr>
              <w: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sz w:val="18"/>
              </w:rPr>
            </w:pPr>
            <w:r>
              <w:rPr>
                <w:sz w:val="18"/>
              </w:rPr>
              <w:t>$</w:t>
            </w:r>
          </w:p>
        </w:tc>
        <w:tc>
          <w:tcPr>
            <w:tcW w:w="920" w:type="dxa"/>
            <w:tcBorders>
              <w:bottom w:val="double" w:sz="6" w:space="0" w:color="000000"/>
            </w:tcBorders>
            <w:shd w:fill="CCEEFF" w:val="clear"/>
            <w:tcMar>
              <w:bottom w:w="28" w:type="dxa"/>
            </w:tcMar>
            <w:vAlign w:val="center"/>
          </w:tcPr>
          <w:p>
            <w:pPr>
              <w:pStyle w:val="TableContents"/>
              <w:bidi w:val="0"/>
              <w:spacing w:before="0" w:after="283"/>
              <w:jc w:val="right"/>
              <w:rPr>
                <w:sz w:val="18"/>
              </w:rPr>
            </w:pPr>
            <w:r>
              <w:rPr>
                <w:sz w:val="18"/>
              </w:rPr>
              <w:t>(12,281</w:t>
            </w:r>
          </w:p>
        </w:tc>
        <w:tc>
          <w:tcPr>
            <w:tcW w:w="80" w:type="dxa"/>
            <w:tcBorders/>
            <w:shd w:fill="CCEEFF" w:val="clear"/>
            <w:vAlign w:val="center"/>
          </w:tcPr>
          <w:p>
            <w:pPr>
              <w:pStyle w:val="TableContents"/>
              <w:bidi w:val="0"/>
              <w:spacing w:before="0" w:after="283"/>
              <w:jc w:val="left"/>
              <w:rPr>
                <w:sz w:val="18"/>
              </w:rPr>
            </w:pPr>
            <w:r>
              <w:rPr>
                <w:sz w:val="18"/>
              </w:rPr>
              <w: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sz w:val="18"/>
              </w:rPr>
            </w:pPr>
            <w:r>
              <w:rPr>
                <w:sz w:val="18"/>
              </w:rPr>
              <w:t>$</w:t>
            </w:r>
          </w:p>
        </w:tc>
        <w:tc>
          <w:tcPr>
            <w:tcW w:w="830" w:type="dxa"/>
            <w:tcBorders>
              <w:bottom w:val="double" w:sz="6" w:space="0" w:color="000000"/>
            </w:tcBorders>
            <w:shd w:fill="CCEEFF" w:val="clear"/>
            <w:tcMar>
              <w:bottom w:w="28" w:type="dxa"/>
            </w:tcMar>
            <w:vAlign w:val="center"/>
          </w:tcPr>
          <w:p>
            <w:pPr>
              <w:pStyle w:val="TableContents"/>
              <w:bidi w:val="0"/>
              <w:spacing w:before="0" w:after="283"/>
              <w:jc w:val="right"/>
              <w:rPr>
                <w:sz w:val="18"/>
              </w:rPr>
            </w:pPr>
            <w:r>
              <w:rPr>
                <w:sz w:val="18"/>
              </w:rPr>
              <w:t>(36,594</w:t>
            </w:r>
          </w:p>
        </w:tc>
        <w:tc>
          <w:tcPr>
            <w:tcW w:w="95" w:type="dxa"/>
            <w:tcBorders/>
            <w:shd w:fill="CCEEFF" w:val="clear"/>
            <w:vAlign w:val="center"/>
          </w:tcPr>
          <w:p>
            <w:pPr>
              <w:pStyle w:val="TableContents"/>
              <w:bidi w:val="0"/>
              <w:spacing w:before="0" w:after="283"/>
              <w:ind w:left="0" w:right="0" w:hanging="144"/>
              <w:jc w:val="left"/>
              <w:rPr>
                <w:sz w:val="18"/>
              </w:rPr>
            </w:pPr>
            <w:r>
              <w:rPr>
                <w:sz w:val="18"/>
              </w:rPr>
              <w:t>)</w:t>
            </w:r>
          </w:p>
        </w:tc>
      </w:tr>
      <w:tr>
        <w:trPr/>
        <w:tc>
          <w:tcPr>
            <w:tcW w:w="5345" w:type="dxa"/>
            <w:tcBorders/>
            <w:shd w:fill="FFFFFF" w:val="clear"/>
            <w:vAlign w:val="center"/>
          </w:tcPr>
          <w:p>
            <w:pPr>
              <w:pStyle w:val="TableContents"/>
              <w:bidi w:val="0"/>
              <w:spacing w:before="0" w:after="283"/>
              <w:jc w:val="left"/>
              <w:rPr>
                <w:b/>
                <w:sz w:val="20"/>
              </w:rPr>
            </w:pPr>
            <w:r>
              <w:rPr>
                <w:b/>
                <w:sz w:val="20"/>
              </w:rPr>
              <w:t>Net loss attributable to common stockholders, basic and diluted</w:t>
            </w:r>
          </w:p>
        </w:tc>
        <w:tc>
          <w:tcPr>
            <w:tcW w:w="60" w:type="dxa"/>
            <w:tcBorders/>
            <w:shd w:fill="FFFFFF" w:val="clear"/>
            <w:vAlign w:val="center"/>
          </w:tcPr>
          <w:p>
            <w:pPr>
              <w:pStyle w:val="TableContents"/>
              <w:bidi w:val="0"/>
              <w:spacing w:before="0" w:after="283"/>
              <w:jc w:val="left"/>
              <w:rPr/>
            </w:pPr>
            <w:r>
              <w:rPr/>
              <w:t> </w:t>
            </w:r>
          </w:p>
        </w:tc>
        <w:tc>
          <w:tcPr>
            <w:tcW w:w="113" w:type="dxa"/>
            <w:tcBorders/>
            <w:shd w:fill="FFFFFF" w:val="clear"/>
            <w:vAlign w:val="center"/>
          </w:tcPr>
          <w:p>
            <w:pPr>
              <w:pStyle w:val="TableContents"/>
              <w:bidi w:val="0"/>
              <w:spacing w:before="0" w:after="283"/>
              <w:jc w:val="left"/>
              <w:rPr>
                <w:sz w:val="18"/>
              </w:rPr>
            </w:pPr>
            <w:r>
              <w:rPr>
                <w:sz w:val="18"/>
              </w:rPr>
              <w:t>$</w:t>
            </w:r>
          </w:p>
        </w:tc>
        <w:tc>
          <w:tcPr>
            <w:tcW w:w="950" w:type="dxa"/>
            <w:tcBorders/>
            <w:shd w:fill="FFFFFF" w:val="clear"/>
            <w:vAlign w:val="center"/>
          </w:tcPr>
          <w:p>
            <w:pPr>
              <w:pStyle w:val="TableContents"/>
              <w:bidi w:val="0"/>
              <w:spacing w:before="0" w:after="283"/>
              <w:jc w:val="right"/>
              <w:rPr>
                <w:sz w:val="18"/>
              </w:rPr>
            </w:pPr>
            <w:r>
              <w:rPr>
                <w:sz w:val="18"/>
              </w:rPr>
              <w:t>(8,241</w:t>
            </w:r>
          </w:p>
        </w:tc>
        <w:tc>
          <w:tcPr>
            <w:tcW w:w="82" w:type="dxa"/>
            <w:tcBorders/>
            <w:shd w:fill="FFFFFF" w:val="clear"/>
            <w:vAlign w:val="center"/>
          </w:tcPr>
          <w:p>
            <w:pPr>
              <w:pStyle w:val="TableContents"/>
              <w:bidi w:val="0"/>
              <w:spacing w:before="0" w:after="283"/>
              <w:jc w:val="left"/>
              <w:rPr>
                <w:sz w:val="18"/>
              </w:rPr>
            </w:pPr>
            <w:r>
              <w:rPr>
                <w:sz w:val="18"/>
              </w:rPr>
              <w:t>)</w:t>
            </w:r>
          </w:p>
        </w:tc>
        <w:tc>
          <w:tcPr>
            <w:tcW w:w="61" w:type="dxa"/>
            <w:tcBorders/>
            <w:shd w:fill="FFFFFF" w:val="clear"/>
            <w:vAlign w:val="center"/>
          </w:tcPr>
          <w:p>
            <w:pPr>
              <w:pStyle w:val="TableContents"/>
              <w:bidi w:val="0"/>
              <w:spacing w:before="0" w:after="283"/>
              <w:jc w:val="left"/>
              <w:rPr/>
            </w:pPr>
            <w:r>
              <w:rPr/>
              <w:t> </w:t>
            </w:r>
          </w:p>
        </w:tc>
        <w:tc>
          <w:tcPr>
            <w:tcW w:w="113" w:type="dxa"/>
            <w:tcBorders/>
            <w:shd w:fill="FFFFFF" w:val="clear"/>
            <w:vAlign w:val="center"/>
          </w:tcPr>
          <w:p>
            <w:pPr>
              <w:pStyle w:val="TableContents"/>
              <w:bidi w:val="0"/>
              <w:spacing w:before="0" w:after="283"/>
              <w:jc w:val="left"/>
              <w:rPr>
                <w:sz w:val="18"/>
              </w:rPr>
            </w:pPr>
            <w:r>
              <w:rPr>
                <w:sz w:val="18"/>
              </w:rPr>
              <w:t>$</w:t>
            </w:r>
          </w:p>
        </w:tc>
        <w:tc>
          <w:tcPr>
            <w:tcW w:w="857" w:type="dxa"/>
            <w:tcBorders/>
            <w:shd w:fill="FFFFFF" w:val="clear"/>
            <w:vAlign w:val="center"/>
          </w:tcPr>
          <w:p>
            <w:pPr>
              <w:pStyle w:val="TableContents"/>
              <w:bidi w:val="0"/>
              <w:spacing w:before="0" w:after="283"/>
              <w:jc w:val="right"/>
              <w:rPr>
                <w:sz w:val="18"/>
              </w:rPr>
            </w:pPr>
            <w:r>
              <w:rPr>
                <w:sz w:val="18"/>
              </w:rPr>
              <w:t>(13,991</w:t>
            </w:r>
          </w:p>
        </w:tc>
        <w:tc>
          <w:tcPr>
            <w:tcW w:w="80" w:type="dxa"/>
            <w:tcBorders/>
            <w:shd w:fill="FFFFFF" w:val="clear"/>
            <w:vAlign w:val="center"/>
          </w:tcPr>
          <w:p>
            <w:pPr>
              <w:pStyle w:val="TableContents"/>
              <w:bidi w:val="0"/>
              <w:spacing w:before="0" w:after="283"/>
              <w:jc w:val="left"/>
              <w:rPr>
                <w:sz w:val="18"/>
              </w:rPr>
            </w:pPr>
            <w:r>
              <w:rPr>
                <w:sz w:val="18"/>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sz w:val="18"/>
              </w:rPr>
            </w:pPr>
            <w:r>
              <w:rPr>
                <w:sz w:val="18"/>
              </w:rPr>
              <w:t>$</w:t>
            </w:r>
          </w:p>
        </w:tc>
        <w:tc>
          <w:tcPr>
            <w:tcW w:w="920" w:type="dxa"/>
            <w:tcBorders/>
            <w:shd w:fill="FFFFFF" w:val="clear"/>
            <w:vAlign w:val="center"/>
          </w:tcPr>
          <w:p>
            <w:pPr>
              <w:pStyle w:val="TableContents"/>
              <w:bidi w:val="0"/>
              <w:spacing w:before="0" w:after="283"/>
              <w:jc w:val="right"/>
              <w:rPr>
                <w:sz w:val="18"/>
              </w:rPr>
            </w:pPr>
            <w:r>
              <w:rPr>
                <w:sz w:val="18"/>
              </w:rPr>
              <w:t>(10,330</w:t>
            </w:r>
          </w:p>
        </w:tc>
        <w:tc>
          <w:tcPr>
            <w:tcW w:w="80" w:type="dxa"/>
            <w:tcBorders/>
            <w:shd w:fill="FFFFFF" w:val="clear"/>
            <w:vAlign w:val="center"/>
          </w:tcPr>
          <w:p>
            <w:pPr>
              <w:pStyle w:val="TableContents"/>
              <w:bidi w:val="0"/>
              <w:spacing w:before="0" w:after="283"/>
              <w:jc w:val="left"/>
              <w:rPr>
                <w:sz w:val="18"/>
              </w:rPr>
            </w:pPr>
            <w:r>
              <w:rPr>
                <w:sz w:val="18"/>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sz w:val="18"/>
              </w:rPr>
            </w:pPr>
            <w:r>
              <w:rPr>
                <w:sz w:val="18"/>
              </w:rPr>
              <w:t>$</w:t>
            </w:r>
          </w:p>
        </w:tc>
        <w:tc>
          <w:tcPr>
            <w:tcW w:w="830" w:type="dxa"/>
            <w:tcBorders/>
            <w:shd w:fill="FFFFFF" w:val="clear"/>
            <w:vAlign w:val="center"/>
          </w:tcPr>
          <w:p>
            <w:pPr>
              <w:pStyle w:val="TableContents"/>
              <w:bidi w:val="0"/>
              <w:spacing w:before="0" w:after="283"/>
              <w:jc w:val="right"/>
              <w:rPr>
                <w:sz w:val="18"/>
              </w:rPr>
            </w:pPr>
            <w:r>
              <w:rPr>
                <w:sz w:val="18"/>
              </w:rPr>
              <w:t>(30,072</w:t>
            </w:r>
          </w:p>
        </w:tc>
        <w:tc>
          <w:tcPr>
            <w:tcW w:w="95" w:type="dxa"/>
            <w:tcBorders/>
            <w:shd w:fill="FFFFFF" w:val="clear"/>
            <w:vAlign w:val="center"/>
          </w:tcPr>
          <w:p>
            <w:pPr>
              <w:pStyle w:val="TableContents"/>
              <w:bidi w:val="0"/>
              <w:spacing w:before="0" w:after="283"/>
              <w:ind w:left="0" w:right="0" w:hanging="144"/>
              <w:jc w:val="left"/>
              <w:rPr>
                <w:sz w:val="18"/>
              </w:rPr>
            </w:pPr>
            <w:r>
              <w:rPr>
                <w:sz w:val="18"/>
              </w:rPr>
              <w:t>)</w:t>
            </w:r>
          </w:p>
        </w:tc>
      </w:tr>
      <w:tr>
        <w:trPr/>
        <w:tc>
          <w:tcPr>
            <w:tcW w:w="5345" w:type="dxa"/>
            <w:tcBorders/>
            <w:shd w:fill="CCEEFF" w:val="clear"/>
            <w:vAlign w:val="center"/>
          </w:tcPr>
          <w:p>
            <w:pPr>
              <w:pStyle w:val="TableContents"/>
              <w:bidi w:val="0"/>
              <w:spacing w:before="0" w:after="283"/>
              <w:jc w:val="left"/>
              <w:rPr>
                <w:b/>
                <w:sz w:val="20"/>
              </w:rPr>
            </w:pPr>
            <w:r>
              <w:rPr>
                <w:b/>
                <w:sz w:val="20"/>
              </w:rPr>
              <w:t>Net loss per share attributable to common stockholders:</w:t>
            </w:r>
          </w:p>
        </w:tc>
        <w:tc>
          <w:tcPr>
            <w:tcW w:w="60" w:type="dxa"/>
            <w:tcBorders/>
            <w:shd w:fill="CCEEFF" w:val="clear"/>
            <w:vAlign w:val="center"/>
          </w:tcPr>
          <w:p>
            <w:pPr>
              <w:pStyle w:val="TableContents"/>
              <w:bidi w:val="0"/>
              <w:spacing w:before="0" w:after="283"/>
              <w:jc w:val="left"/>
              <w:rPr/>
            </w:pPr>
            <w:r>
              <w:rPr/>
              <w:t> </w:t>
            </w:r>
          </w:p>
        </w:tc>
        <w:tc>
          <w:tcPr>
            <w:tcW w:w="113"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pPr>
            <w:r>
              <w:rPr/>
              <w:t> </w:t>
            </w:r>
          </w:p>
        </w:tc>
        <w:tc>
          <w:tcPr>
            <w:tcW w:w="82"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13" w:type="dxa"/>
            <w:tcBorders/>
            <w:shd w:fill="CCEEFF" w:val="clear"/>
            <w:vAlign w:val="center"/>
          </w:tcPr>
          <w:p>
            <w:pPr>
              <w:pStyle w:val="TableContents"/>
              <w:bidi w:val="0"/>
              <w:spacing w:before="0" w:after="283"/>
              <w:jc w:val="left"/>
              <w:rPr/>
            </w:pPr>
            <w:r>
              <w:rPr/>
              <w:t> </w:t>
            </w:r>
          </w:p>
        </w:tc>
        <w:tc>
          <w:tcPr>
            <w:tcW w:w="857"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2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ind w:left="0" w:right="0" w:hanging="144"/>
              <w:jc w:val="left"/>
              <w:rPr/>
            </w:pPr>
            <w:r>
              <w:rPr/>
              <w:t> </w:t>
            </w:r>
          </w:p>
        </w:tc>
      </w:tr>
      <w:tr>
        <w:trPr/>
        <w:tc>
          <w:tcPr>
            <w:tcW w:w="5345" w:type="dxa"/>
            <w:tcBorders/>
            <w:shd w:fill="FFFFFF" w:val="clear"/>
            <w:vAlign w:val="center"/>
          </w:tcPr>
          <w:p>
            <w:pPr>
              <w:pStyle w:val="TableContents"/>
              <w:bidi w:val="0"/>
              <w:spacing w:before="0" w:after="283"/>
              <w:jc w:val="left"/>
              <w:rPr>
                <w:sz w:val="20"/>
              </w:rPr>
            </w:pPr>
            <w:r>
              <w:rPr>
                <w:sz w:val="20"/>
              </w:rPr>
              <w:t>Basic</w:t>
            </w:r>
          </w:p>
        </w:tc>
        <w:tc>
          <w:tcPr>
            <w:tcW w:w="60" w:type="dxa"/>
            <w:tcBorders/>
            <w:shd w:fill="FFFFFF" w:val="clear"/>
            <w:vAlign w:val="center"/>
          </w:tcPr>
          <w:p>
            <w:pPr>
              <w:pStyle w:val="TableContents"/>
              <w:bidi w:val="0"/>
              <w:spacing w:before="0" w:after="283"/>
              <w:jc w:val="left"/>
              <w:rPr/>
            </w:pPr>
            <w:r>
              <w:rPr/>
              <w:t> </w:t>
            </w:r>
          </w:p>
        </w:tc>
        <w:tc>
          <w:tcPr>
            <w:tcW w:w="113" w:type="dxa"/>
            <w:tcBorders/>
            <w:shd w:fill="FFFFFF" w:val="clear"/>
            <w:vAlign w:val="center"/>
          </w:tcPr>
          <w:p>
            <w:pPr>
              <w:pStyle w:val="TableContents"/>
              <w:bidi w:val="0"/>
              <w:spacing w:before="0" w:after="283"/>
              <w:jc w:val="left"/>
              <w:rPr>
                <w:sz w:val="18"/>
              </w:rPr>
            </w:pPr>
            <w:r>
              <w:rPr>
                <w:sz w:val="18"/>
              </w:rPr>
              <w:t>$</w:t>
            </w:r>
          </w:p>
        </w:tc>
        <w:tc>
          <w:tcPr>
            <w:tcW w:w="950" w:type="dxa"/>
            <w:tcBorders/>
            <w:shd w:fill="FFFFFF" w:val="clear"/>
            <w:vAlign w:val="center"/>
          </w:tcPr>
          <w:p>
            <w:pPr>
              <w:pStyle w:val="TableContents"/>
              <w:bidi w:val="0"/>
              <w:spacing w:before="0" w:after="283"/>
              <w:jc w:val="right"/>
              <w:rPr>
                <w:sz w:val="18"/>
              </w:rPr>
            </w:pPr>
            <w:r>
              <w:rPr>
                <w:sz w:val="18"/>
              </w:rPr>
              <w:t>(0.08</w:t>
            </w:r>
          </w:p>
        </w:tc>
        <w:tc>
          <w:tcPr>
            <w:tcW w:w="82" w:type="dxa"/>
            <w:tcBorders/>
            <w:shd w:fill="FFFFFF" w:val="clear"/>
            <w:vAlign w:val="center"/>
          </w:tcPr>
          <w:p>
            <w:pPr>
              <w:pStyle w:val="TableContents"/>
              <w:bidi w:val="0"/>
              <w:spacing w:before="0" w:after="283"/>
              <w:jc w:val="left"/>
              <w:rPr>
                <w:sz w:val="18"/>
              </w:rPr>
            </w:pPr>
            <w:r>
              <w:rPr>
                <w:sz w:val="18"/>
              </w:rPr>
              <w:t>)</w:t>
            </w:r>
          </w:p>
        </w:tc>
        <w:tc>
          <w:tcPr>
            <w:tcW w:w="61" w:type="dxa"/>
            <w:tcBorders/>
            <w:shd w:fill="FFFFFF" w:val="clear"/>
            <w:vAlign w:val="center"/>
          </w:tcPr>
          <w:p>
            <w:pPr>
              <w:pStyle w:val="TableContents"/>
              <w:bidi w:val="0"/>
              <w:spacing w:before="0" w:after="283"/>
              <w:jc w:val="left"/>
              <w:rPr/>
            </w:pPr>
            <w:r>
              <w:rPr/>
              <w:t> </w:t>
            </w:r>
          </w:p>
        </w:tc>
        <w:tc>
          <w:tcPr>
            <w:tcW w:w="113" w:type="dxa"/>
            <w:tcBorders/>
            <w:shd w:fill="FFFFFF" w:val="clear"/>
            <w:vAlign w:val="center"/>
          </w:tcPr>
          <w:p>
            <w:pPr>
              <w:pStyle w:val="TableContents"/>
              <w:bidi w:val="0"/>
              <w:spacing w:before="0" w:after="283"/>
              <w:jc w:val="left"/>
              <w:rPr>
                <w:sz w:val="18"/>
              </w:rPr>
            </w:pPr>
            <w:r>
              <w:rPr>
                <w:sz w:val="18"/>
              </w:rPr>
              <w:t>$</w:t>
            </w:r>
          </w:p>
        </w:tc>
        <w:tc>
          <w:tcPr>
            <w:tcW w:w="857" w:type="dxa"/>
            <w:tcBorders/>
            <w:shd w:fill="FFFFFF" w:val="clear"/>
            <w:vAlign w:val="center"/>
          </w:tcPr>
          <w:p>
            <w:pPr>
              <w:pStyle w:val="TableContents"/>
              <w:bidi w:val="0"/>
              <w:spacing w:before="0" w:after="283"/>
              <w:jc w:val="right"/>
              <w:rPr>
                <w:sz w:val="18"/>
              </w:rPr>
            </w:pPr>
            <w:r>
              <w:rPr>
                <w:sz w:val="18"/>
              </w:rPr>
              <w:t>(0.15</w:t>
            </w:r>
          </w:p>
        </w:tc>
        <w:tc>
          <w:tcPr>
            <w:tcW w:w="80" w:type="dxa"/>
            <w:tcBorders/>
            <w:shd w:fill="FFFFFF" w:val="clear"/>
            <w:vAlign w:val="center"/>
          </w:tcPr>
          <w:p>
            <w:pPr>
              <w:pStyle w:val="TableContents"/>
              <w:bidi w:val="0"/>
              <w:spacing w:before="0" w:after="283"/>
              <w:jc w:val="left"/>
              <w:rPr>
                <w:sz w:val="18"/>
              </w:rPr>
            </w:pPr>
            <w:r>
              <w:rPr>
                <w:sz w:val="18"/>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sz w:val="18"/>
              </w:rPr>
            </w:pPr>
            <w:r>
              <w:rPr>
                <w:sz w:val="18"/>
              </w:rPr>
              <w:t>$</w:t>
            </w:r>
          </w:p>
        </w:tc>
        <w:tc>
          <w:tcPr>
            <w:tcW w:w="920" w:type="dxa"/>
            <w:tcBorders/>
            <w:shd w:fill="FFFFFF" w:val="clear"/>
            <w:vAlign w:val="center"/>
          </w:tcPr>
          <w:p>
            <w:pPr>
              <w:pStyle w:val="TableContents"/>
              <w:bidi w:val="0"/>
              <w:spacing w:before="0" w:after="283"/>
              <w:jc w:val="right"/>
              <w:rPr>
                <w:sz w:val="18"/>
              </w:rPr>
            </w:pPr>
            <w:r>
              <w:rPr>
                <w:sz w:val="18"/>
              </w:rPr>
              <w:t>(0.10</w:t>
            </w:r>
          </w:p>
        </w:tc>
        <w:tc>
          <w:tcPr>
            <w:tcW w:w="80" w:type="dxa"/>
            <w:tcBorders/>
            <w:shd w:fill="FFFFFF" w:val="clear"/>
            <w:vAlign w:val="center"/>
          </w:tcPr>
          <w:p>
            <w:pPr>
              <w:pStyle w:val="TableContents"/>
              <w:bidi w:val="0"/>
              <w:spacing w:before="0" w:after="283"/>
              <w:jc w:val="left"/>
              <w:rPr>
                <w:sz w:val="18"/>
              </w:rPr>
            </w:pPr>
            <w:r>
              <w:rPr>
                <w:sz w:val="18"/>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sz w:val="18"/>
              </w:rPr>
            </w:pPr>
            <w:r>
              <w:rPr>
                <w:sz w:val="18"/>
              </w:rPr>
              <w:t>$</w:t>
            </w:r>
          </w:p>
        </w:tc>
        <w:tc>
          <w:tcPr>
            <w:tcW w:w="830" w:type="dxa"/>
            <w:tcBorders/>
            <w:shd w:fill="FFFFFF" w:val="clear"/>
            <w:vAlign w:val="center"/>
          </w:tcPr>
          <w:p>
            <w:pPr>
              <w:pStyle w:val="TableContents"/>
              <w:bidi w:val="0"/>
              <w:spacing w:before="0" w:after="283"/>
              <w:jc w:val="right"/>
              <w:rPr>
                <w:sz w:val="18"/>
              </w:rPr>
            </w:pPr>
            <w:r>
              <w:rPr>
                <w:sz w:val="18"/>
              </w:rPr>
              <w:t>(0.35</w:t>
            </w:r>
          </w:p>
        </w:tc>
        <w:tc>
          <w:tcPr>
            <w:tcW w:w="95" w:type="dxa"/>
            <w:tcBorders/>
            <w:shd w:fill="FFFFFF" w:val="clear"/>
            <w:vAlign w:val="center"/>
          </w:tcPr>
          <w:p>
            <w:pPr>
              <w:pStyle w:val="TableContents"/>
              <w:bidi w:val="0"/>
              <w:spacing w:before="0" w:after="283"/>
              <w:ind w:left="0" w:right="0" w:hanging="144"/>
              <w:jc w:val="left"/>
              <w:rPr>
                <w:sz w:val="18"/>
              </w:rPr>
            </w:pPr>
            <w:r>
              <w:rPr>
                <w:sz w:val="18"/>
              </w:rPr>
              <w:t>)</w:t>
            </w:r>
          </w:p>
        </w:tc>
      </w:tr>
      <w:tr>
        <w:trPr/>
        <w:tc>
          <w:tcPr>
            <w:tcW w:w="5345" w:type="dxa"/>
            <w:tcBorders/>
            <w:shd w:fill="CCEEFF" w:val="clear"/>
            <w:vAlign w:val="center"/>
          </w:tcPr>
          <w:p>
            <w:pPr>
              <w:pStyle w:val="TableContents"/>
              <w:bidi w:val="0"/>
              <w:spacing w:before="0" w:after="283"/>
              <w:jc w:val="left"/>
              <w:rPr>
                <w:sz w:val="20"/>
              </w:rPr>
            </w:pPr>
            <w:r>
              <w:rPr>
                <w:sz w:val="20"/>
              </w:rPr>
              <w:t>Diluted</w:t>
            </w:r>
          </w:p>
        </w:tc>
        <w:tc>
          <w:tcPr>
            <w:tcW w:w="60" w:type="dxa"/>
            <w:tcBorders/>
            <w:shd w:fill="CCEEFF" w:val="clear"/>
            <w:vAlign w:val="center"/>
          </w:tcPr>
          <w:p>
            <w:pPr>
              <w:pStyle w:val="TableContents"/>
              <w:bidi w:val="0"/>
              <w:spacing w:before="0" w:after="283"/>
              <w:jc w:val="left"/>
              <w:rPr/>
            </w:pPr>
            <w:r>
              <w:rPr/>
              <w:t> </w:t>
            </w:r>
          </w:p>
        </w:tc>
        <w:tc>
          <w:tcPr>
            <w:tcW w:w="113" w:type="dxa"/>
            <w:tcBorders/>
            <w:shd w:fill="CCEEFF" w:val="clear"/>
            <w:vAlign w:val="center"/>
          </w:tcPr>
          <w:p>
            <w:pPr>
              <w:pStyle w:val="TableContents"/>
              <w:bidi w:val="0"/>
              <w:spacing w:before="0" w:after="283"/>
              <w:jc w:val="left"/>
              <w:rPr>
                <w:sz w:val="18"/>
              </w:rPr>
            </w:pPr>
            <w:r>
              <w:rPr>
                <w:sz w:val="18"/>
              </w:rPr>
              <w:t>$</w:t>
            </w:r>
          </w:p>
        </w:tc>
        <w:tc>
          <w:tcPr>
            <w:tcW w:w="950" w:type="dxa"/>
            <w:tcBorders/>
            <w:shd w:fill="CCEEFF" w:val="clear"/>
            <w:vAlign w:val="center"/>
          </w:tcPr>
          <w:p>
            <w:pPr>
              <w:pStyle w:val="TableContents"/>
              <w:bidi w:val="0"/>
              <w:spacing w:before="0" w:after="283"/>
              <w:jc w:val="right"/>
              <w:rPr>
                <w:sz w:val="18"/>
              </w:rPr>
            </w:pPr>
            <w:r>
              <w:rPr>
                <w:sz w:val="18"/>
              </w:rPr>
              <w:t>(0.08</w:t>
            </w:r>
          </w:p>
        </w:tc>
        <w:tc>
          <w:tcPr>
            <w:tcW w:w="82" w:type="dxa"/>
            <w:tcBorders/>
            <w:shd w:fill="CCEEFF" w:val="clear"/>
            <w:vAlign w:val="center"/>
          </w:tcPr>
          <w:p>
            <w:pPr>
              <w:pStyle w:val="TableContents"/>
              <w:bidi w:val="0"/>
              <w:spacing w:before="0" w:after="283"/>
              <w:jc w:val="left"/>
              <w:rPr>
                <w:sz w:val="18"/>
              </w:rPr>
            </w:pPr>
            <w:r>
              <w:rPr>
                <w:sz w:val="18"/>
              </w:rPr>
              <w:t>)</w:t>
            </w:r>
          </w:p>
        </w:tc>
        <w:tc>
          <w:tcPr>
            <w:tcW w:w="61" w:type="dxa"/>
            <w:tcBorders/>
            <w:shd w:fill="CCEEFF" w:val="clear"/>
            <w:vAlign w:val="center"/>
          </w:tcPr>
          <w:p>
            <w:pPr>
              <w:pStyle w:val="TableContents"/>
              <w:bidi w:val="0"/>
              <w:spacing w:before="0" w:after="283"/>
              <w:jc w:val="left"/>
              <w:rPr/>
            </w:pPr>
            <w:r>
              <w:rPr/>
              <w:t> </w:t>
            </w:r>
          </w:p>
        </w:tc>
        <w:tc>
          <w:tcPr>
            <w:tcW w:w="113" w:type="dxa"/>
            <w:tcBorders/>
            <w:shd w:fill="CCEEFF" w:val="clear"/>
            <w:vAlign w:val="center"/>
          </w:tcPr>
          <w:p>
            <w:pPr>
              <w:pStyle w:val="TableContents"/>
              <w:bidi w:val="0"/>
              <w:spacing w:before="0" w:after="283"/>
              <w:jc w:val="left"/>
              <w:rPr>
                <w:sz w:val="18"/>
              </w:rPr>
            </w:pPr>
            <w:r>
              <w:rPr>
                <w:sz w:val="18"/>
              </w:rPr>
              <w:t>$</w:t>
            </w:r>
          </w:p>
        </w:tc>
        <w:tc>
          <w:tcPr>
            <w:tcW w:w="857" w:type="dxa"/>
            <w:tcBorders/>
            <w:shd w:fill="CCEEFF" w:val="clear"/>
            <w:vAlign w:val="center"/>
          </w:tcPr>
          <w:p>
            <w:pPr>
              <w:pStyle w:val="TableContents"/>
              <w:bidi w:val="0"/>
              <w:spacing w:before="0" w:after="283"/>
              <w:jc w:val="right"/>
              <w:rPr>
                <w:sz w:val="18"/>
              </w:rPr>
            </w:pPr>
            <w:r>
              <w:rPr>
                <w:sz w:val="18"/>
              </w:rPr>
              <w:t>(0.15</w:t>
            </w:r>
          </w:p>
        </w:tc>
        <w:tc>
          <w:tcPr>
            <w:tcW w:w="80" w:type="dxa"/>
            <w:tcBorders/>
            <w:shd w:fill="CCEEFF" w:val="clear"/>
            <w:vAlign w:val="center"/>
          </w:tcPr>
          <w:p>
            <w:pPr>
              <w:pStyle w:val="TableContents"/>
              <w:bidi w:val="0"/>
              <w:spacing w:before="0" w:after="283"/>
              <w:jc w:val="left"/>
              <w:rPr>
                <w:sz w:val="18"/>
              </w:rPr>
            </w:pPr>
            <w:r>
              <w:rPr>
                <w:sz w:val="18"/>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sz w:val="20"/>
              </w:rPr>
            </w:pPr>
            <w:r>
              <w:rPr>
                <w:sz w:val="20"/>
              </w:rPr>
              <w:t>$</w:t>
            </w:r>
          </w:p>
        </w:tc>
        <w:tc>
          <w:tcPr>
            <w:tcW w:w="920" w:type="dxa"/>
            <w:tcBorders/>
            <w:shd w:fill="CCEEFF" w:val="clear"/>
            <w:vAlign w:val="center"/>
          </w:tcPr>
          <w:p>
            <w:pPr>
              <w:pStyle w:val="TableContents"/>
              <w:bidi w:val="0"/>
              <w:spacing w:before="0" w:after="283"/>
              <w:jc w:val="right"/>
              <w:rPr>
                <w:sz w:val="20"/>
              </w:rPr>
            </w:pPr>
            <w:r>
              <w:rPr>
                <w:sz w:val="20"/>
              </w:rPr>
              <w:t>(0.10</w:t>
            </w:r>
          </w:p>
        </w:tc>
        <w:tc>
          <w:tcPr>
            <w:tcW w:w="80" w:type="dxa"/>
            <w:tcBorders/>
            <w:shd w:fill="CCEEFF" w:val="clear"/>
            <w:vAlign w:val="center"/>
          </w:tcPr>
          <w:p>
            <w:pPr>
              <w:pStyle w:val="TableContents"/>
              <w:bidi w:val="0"/>
              <w:spacing w:before="0" w:after="283"/>
              <w:jc w:val="left"/>
              <w:rPr>
                <w:sz w:val="20"/>
              </w:rPr>
            </w:pPr>
            <w:r>
              <w:rPr>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sz w:val="20"/>
              </w:rPr>
            </w:pPr>
            <w:r>
              <w:rPr>
                <w:sz w:val="20"/>
              </w:rPr>
              <w:t>$</w:t>
            </w:r>
          </w:p>
        </w:tc>
        <w:tc>
          <w:tcPr>
            <w:tcW w:w="830" w:type="dxa"/>
            <w:tcBorders/>
            <w:shd w:fill="CCEEFF" w:val="clear"/>
            <w:vAlign w:val="center"/>
          </w:tcPr>
          <w:p>
            <w:pPr>
              <w:pStyle w:val="TableContents"/>
              <w:bidi w:val="0"/>
              <w:spacing w:before="0" w:after="283"/>
              <w:jc w:val="right"/>
              <w:rPr>
                <w:sz w:val="20"/>
              </w:rPr>
            </w:pPr>
            <w:r>
              <w:rPr>
                <w:sz w:val="20"/>
              </w:rPr>
              <w:t>(0.35</w:t>
            </w:r>
          </w:p>
        </w:tc>
        <w:tc>
          <w:tcPr>
            <w:tcW w:w="95" w:type="dxa"/>
            <w:tcBorders/>
            <w:shd w:fill="CCEEFF" w:val="clear"/>
            <w:vAlign w:val="center"/>
          </w:tcPr>
          <w:p>
            <w:pPr>
              <w:pStyle w:val="TableContents"/>
              <w:bidi w:val="0"/>
              <w:spacing w:before="0" w:after="283"/>
              <w:ind w:left="0" w:right="0" w:hanging="144"/>
              <w:jc w:val="left"/>
              <w:rPr>
                <w:sz w:val="20"/>
              </w:rPr>
            </w:pPr>
            <w:r>
              <w:rPr>
                <w:sz w:val="20"/>
              </w:rPr>
              <w:t>)</w:t>
            </w:r>
          </w:p>
        </w:tc>
      </w:tr>
      <w:tr>
        <w:trPr/>
        <w:tc>
          <w:tcPr>
            <w:tcW w:w="5345" w:type="dxa"/>
            <w:tcBorders/>
            <w:shd w:fill="FFFFFF" w:val="clear"/>
            <w:vAlign w:val="center"/>
          </w:tcPr>
          <w:p>
            <w:pPr>
              <w:pStyle w:val="TableContents"/>
              <w:bidi w:val="0"/>
              <w:spacing w:before="0" w:after="283"/>
              <w:jc w:val="left"/>
              <w:rPr>
                <w:b/>
                <w:sz w:val="20"/>
              </w:rPr>
            </w:pPr>
            <w:r>
              <w:rPr>
                <w:b/>
                <w:sz w:val="20"/>
              </w:rPr>
              <w:t>Weighted-average number of shares outstanding:</w:t>
            </w:r>
          </w:p>
        </w:tc>
        <w:tc>
          <w:tcPr>
            <w:tcW w:w="60" w:type="dxa"/>
            <w:tcBorders/>
            <w:shd w:fill="FFFFFF" w:val="clear"/>
            <w:vAlign w:val="center"/>
          </w:tcPr>
          <w:p>
            <w:pPr>
              <w:pStyle w:val="TableContents"/>
              <w:bidi w:val="0"/>
              <w:spacing w:before="0" w:after="283"/>
              <w:jc w:val="left"/>
              <w:rPr/>
            </w:pPr>
            <w:r>
              <w:rPr/>
              <w:t> </w:t>
            </w:r>
          </w:p>
        </w:tc>
        <w:tc>
          <w:tcPr>
            <w:tcW w:w="113"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pPr>
            <w:r>
              <w:rPr/>
              <w:t> </w:t>
            </w:r>
          </w:p>
        </w:tc>
        <w:tc>
          <w:tcPr>
            <w:tcW w:w="82"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13" w:type="dxa"/>
            <w:tcBorders/>
            <w:shd w:fill="FFFFFF" w:val="clear"/>
            <w:vAlign w:val="center"/>
          </w:tcPr>
          <w:p>
            <w:pPr>
              <w:pStyle w:val="TableContents"/>
              <w:bidi w:val="0"/>
              <w:spacing w:before="0" w:after="283"/>
              <w:jc w:val="left"/>
              <w:rPr/>
            </w:pPr>
            <w:r>
              <w:rPr/>
              <w:t> </w:t>
            </w:r>
          </w:p>
        </w:tc>
        <w:tc>
          <w:tcPr>
            <w:tcW w:w="857"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3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ind w:left="0" w:right="0" w:hanging="144"/>
              <w:jc w:val="left"/>
              <w:rPr/>
            </w:pPr>
            <w:r>
              <w:rPr/>
              <w:t> </w:t>
            </w:r>
          </w:p>
        </w:tc>
      </w:tr>
      <w:tr>
        <w:trPr/>
        <w:tc>
          <w:tcPr>
            <w:tcW w:w="5345" w:type="dxa"/>
            <w:tcBorders/>
            <w:shd w:fill="CCEEFF" w:val="clear"/>
            <w:vAlign w:val="center"/>
          </w:tcPr>
          <w:p>
            <w:pPr>
              <w:pStyle w:val="TableContents"/>
              <w:bidi w:val="0"/>
              <w:spacing w:before="0" w:after="283"/>
              <w:jc w:val="left"/>
              <w:rPr>
                <w:sz w:val="20"/>
              </w:rPr>
            </w:pPr>
            <w:r>
              <w:rPr>
                <w:sz w:val="20"/>
              </w:rPr>
              <w:t>Basic</w:t>
            </w:r>
          </w:p>
        </w:tc>
        <w:tc>
          <w:tcPr>
            <w:tcW w:w="60" w:type="dxa"/>
            <w:tcBorders/>
            <w:shd w:fill="CCEEFF" w:val="clear"/>
            <w:vAlign w:val="center"/>
          </w:tcPr>
          <w:p>
            <w:pPr>
              <w:pStyle w:val="TableContents"/>
              <w:bidi w:val="0"/>
              <w:spacing w:before="0" w:after="283"/>
              <w:jc w:val="left"/>
              <w:rPr/>
            </w:pPr>
            <w:r>
              <w:rPr/>
              <w:t> </w:t>
            </w:r>
          </w:p>
        </w:tc>
        <w:tc>
          <w:tcPr>
            <w:tcW w:w="113"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sz w:val="18"/>
              </w:rPr>
            </w:pPr>
            <w:r>
              <w:rPr>
                <w:sz w:val="18"/>
              </w:rPr>
              <w:t>103,031,493</w:t>
            </w:r>
          </w:p>
        </w:tc>
        <w:tc>
          <w:tcPr>
            <w:tcW w:w="82"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13" w:type="dxa"/>
            <w:tcBorders/>
            <w:shd w:fill="CCEEFF" w:val="clear"/>
            <w:vAlign w:val="center"/>
          </w:tcPr>
          <w:p>
            <w:pPr>
              <w:pStyle w:val="TableContents"/>
              <w:bidi w:val="0"/>
              <w:spacing w:before="0" w:after="283"/>
              <w:jc w:val="left"/>
              <w:rPr/>
            </w:pPr>
            <w:r>
              <w:rPr/>
              <w:t> </w:t>
            </w:r>
          </w:p>
        </w:tc>
        <w:tc>
          <w:tcPr>
            <w:tcW w:w="857" w:type="dxa"/>
            <w:tcBorders/>
            <w:shd w:fill="CCEEFF" w:val="clear"/>
            <w:vAlign w:val="center"/>
          </w:tcPr>
          <w:p>
            <w:pPr>
              <w:pStyle w:val="TableContents"/>
              <w:bidi w:val="0"/>
              <w:spacing w:before="0" w:after="283"/>
              <w:jc w:val="right"/>
              <w:rPr>
                <w:sz w:val="18"/>
              </w:rPr>
            </w:pPr>
            <w:r>
              <w:rPr>
                <w:sz w:val="18"/>
              </w:rPr>
              <w:t>93,203,665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20" w:type="dxa"/>
            <w:tcBorders/>
            <w:shd w:fill="CCEEFF" w:val="clear"/>
            <w:vAlign w:val="center"/>
          </w:tcPr>
          <w:p>
            <w:pPr>
              <w:pStyle w:val="TableContents"/>
              <w:bidi w:val="0"/>
              <w:spacing w:before="0" w:after="283"/>
              <w:jc w:val="right"/>
              <w:rPr>
                <w:sz w:val="18"/>
              </w:rPr>
            </w:pPr>
            <w:r>
              <w:rPr>
                <w:sz w:val="18"/>
              </w:rPr>
              <w:t>102,419,949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sz w:val="18"/>
              </w:rPr>
            </w:pPr>
            <w:r>
              <w:rPr>
                <w:sz w:val="18"/>
              </w:rPr>
              <w:t>85,195,734</w:t>
            </w:r>
          </w:p>
        </w:tc>
        <w:tc>
          <w:tcPr>
            <w:tcW w:w="95" w:type="dxa"/>
            <w:tcBorders/>
            <w:shd w:fill="CCEEFF" w:val="clear"/>
            <w:vAlign w:val="center"/>
          </w:tcPr>
          <w:p>
            <w:pPr>
              <w:pStyle w:val="TableContents"/>
              <w:bidi w:val="0"/>
              <w:spacing w:before="0" w:after="283"/>
              <w:ind w:left="0" w:right="0" w:hanging="144"/>
              <w:jc w:val="left"/>
              <w:rPr/>
            </w:pPr>
            <w:r>
              <w:rPr/>
              <w:t> </w:t>
            </w:r>
          </w:p>
        </w:tc>
      </w:tr>
      <w:tr>
        <w:trPr/>
        <w:tc>
          <w:tcPr>
            <w:tcW w:w="5345" w:type="dxa"/>
            <w:tcBorders/>
            <w:shd w:fill="FFFFFF" w:val="clear"/>
            <w:vAlign w:val="center"/>
          </w:tcPr>
          <w:p>
            <w:pPr>
              <w:pStyle w:val="TableContents"/>
              <w:bidi w:val="0"/>
              <w:spacing w:before="0" w:after="283"/>
              <w:jc w:val="left"/>
              <w:rPr>
                <w:sz w:val="20"/>
              </w:rPr>
            </w:pPr>
            <w:r>
              <w:rPr>
                <w:sz w:val="20"/>
              </w:rPr>
              <w:t>Diluted</w:t>
            </w:r>
          </w:p>
        </w:tc>
        <w:tc>
          <w:tcPr>
            <w:tcW w:w="60" w:type="dxa"/>
            <w:tcBorders/>
            <w:shd w:fill="FFFFFF" w:val="clear"/>
            <w:vAlign w:val="center"/>
          </w:tcPr>
          <w:p>
            <w:pPr>
              <w:pStyle w:val="TableContents"/>
              <w:bidi w:val="0"/>
              <w:spacing w:before="0" w:after="283"/>
              <w:jc w:val="left"/>
              <w:rPr/>
            </w:pPr>
            <w:r>
              <w:rPr/>
              <w:t> </w:t>
            </w:r>
          </w:p>
        </w:tc>
        <w:tc>
          <w:tcPr>
            <w:tcW w:w="113"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sz w:val="18"/>
              </w:rPr>
            </w:pPr>
            <w:r>
              <w:rPr>
                <w:sz w:val="18"/>
              </w:rPr>
              <w:t>103,031,493</w:t>
            </w:r>
          </w:p>
        </w:tc>
        <w:tc>
          <w:tcPr>
            <w:tcW w:w="82"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13" w:type="dxa"/>
            <w:tcBorders/>
            <w:shd w:fill="FFFFFF" w:val="clear"/>
            <w:vAlign w:val="center"/>
          </w:tcPr>
          <w:p>
            <w:pPr>
              <w:pStyle w:val="TableContents"/>
              <w:bidi w:val="0"/>
              <w:spacing w:before="0" w:after="283"/>
              <w:jc w:val="left"/>
              <w:rPr/>
            </w:pPr>
            <w:r>
              <w:rPr/>
              <w:t> </w:t>
            </w:r>
          </w:p>
        </w:tc>
        <w:tc>
          <w:tcPr>
            <w:tcW w:w="857" w:type="dxa"/>
            <w:tcBorders/>
            <w:shd w:fill="FFFFFF" w:val="clear"/>
            <w:vAlign w:val="center"/>
          </w:tcPr>
          <w:p>
            <w:pPr>
              <w:pStyle w:val="TableContents"/>
              <w:bidi w:val="0"/>
              <w:spacing w:before="0" w:after="283"/>
              <w:jc w:val="right"/>
              <w:rPr>
                <w:sz w:val="18"/>
              </w:rPr>
            </w:pPr>
            <w:r>
              <w:rPr>
                <w:sz w:val="18"/>
              </w:rPr>
              <w:t>93,203,665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sz w:val="18"/>
              </w:rPr>
            </w:pPr>
            <w:r>
              <w:rPr>
                <w:sz w:val="18"/>
              </w:rPr>
              <w:t>102,419,949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30" w:type="dxa"/>
            <w:tcBorders/>
            <w:shd w:fill="FFFFFF" w:val="clear"/>
            <w:vAlign w:val="center"/>
          </w:tcPr>
          <w:p>
            <w:pPr>
              <w:pStyle w:val="TableContents"/>
              <w:bidi w:val="0"/>
              <w:spacing w:before="0" w:after="283"/>
              <w:jc w:val="right"/>
              <w:rPr>
                <w:sz w:val="18"/>
              </w:rPr>
            </w:pPr>
            <w:r>
              <w:rPr>
                <w:sz w:val="18"/>
              </w:rPr>
              <w:t>85,195,734</w:t>
            </w:r>
          </w:p>
        </w:tc>
        <w:tc>
          <w:tcPr>
            <w:tcW w:w="95" w:type="dxa"/>
            <w:tcBorders/>
            <w:shd w:fill="FFFFFF" w:val="clear"/>
            <w:vAlign w:val="center"/>
          </w:tcPr>
          <w:p>
            <w:pPr>
              <w:pStyle w:val="TableContents"/>
              <w:bidi w:val="0"/>
              <w:spacing w:before="0" w:after="283"/>
              <w:jc w:val="left"/>
              <w:rPr/>
            </w:pPr>
            <w:r>
              <w:rPr/>
              <w:t> </w:t>
            </w:r>
          </w:p>
        </w:tc>
      </w:tr>
    </w:tbl>
    <w:p>
      <w:pPr>
        <w:pStyle w:val="TextBody"/>
        <w:bidi w:val="0"/>
        <w:spacing w:lineRule="auto" w:line="288" w:before="0" w:after="0"/>
        <w:ind w:left="0" w:right="0" w:hanging="0"/>
        <w:jc w:val="left"/>
        <w:rPr>
          <w:caps w:val="false"/>
          <w:smallCaps w:val="false"/>
        </w:rPr>
      </w:pPr>
      <w:r>
        <w:rPr>
          <w:caps w:val="false"/>
          <w:smallCaps w:val="false"/>
        </w:rPr>
        <w:t> </w:t>
      </w:r>
    </w:p>
    <w:p>
      <w:pPr>
        <w:pStyle w:val="TextBody"/>
        <w:bidi w:val="0"/>
        <w:spacing w:lineRule="auto" w:line="288"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720" w:right="720" w:hanging="2"/>
        <w:jc w:val="both"/>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Consolidated Statements of Cash Flows (Unaudited)</w:t>
      </w:r>
    </w:p>
    <w:p>
      <w:pPr>
        <w:pStyle w:val="TextBody"/>
        <w:bidi w:val="0"/>
        <w:spacing w:before="0" w:after="0"/>
        <w:ind w:left="720" w:right="720" w:hanging="2"/>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(in thousands)</w:t>
      </w:r>
    </w:p>
    <w:p>
      <w:pPr>
        <w:pStyle w:val="TextBody"/>
        <w:bidi w:val="0"/>
        <w:spacing w:before="0" w:after="0"/>
        <w:ind w:left="720" w:right="720" w:hanging="2"/>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8056"/>
        <w:gridCol w:w="60"/>
        <w:gridCol w:w="141"/>
        <w:gridCol w:w="769"/>
        <w:gridCol w:w="95"/>
        <w:gridCol w:w="60"/>
        <w:gridCol w:w="141"/>
        <w:gridCol w:w="769"/>
        <w:gridCol w:w="114"/>
      </w:tblGrid>
      <w:tr>
        <w:trPr/>
        <w:tc>
          <w:tcPr>
            <w:tcW w:w="805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75" w:type="dxa"/>
            <w:gridSpan w:val="6"/>
            <w:tcBorders>
              <w:bottom w:val="single" w:sz="8" w:space="0" w:color="000000"/>
            </w:tcBorders>
            <w:tcMar>
              <w:bottom w:w="28" w:type="dxa"/>
            </w:tcMar>
            <w:vAlign w:val="center"/>
          </w:tcPr>
          <w:p>
            <w:pPr>
              <w:pStyle w:val="TableContents"/>
              <w:bidi w:val="0"/>
              <w:spacing w:before="0" w:after="283"/>
              <w:jc w:val="center"/>
              <w:rPr>
                <w:b/>
                <w:sz w:val="16"/>
              </w:rPr>
            </w:pPr>
            <w:r>
              <w:rPr>
                <w:b/>
                <w:sz w:val="16"/>
              </w:rPr>
              <w:t>Six Months Ended June 30,</w:t>
            </w:r>
          </w:p>
        </w:tc>
        <w:tc>
          <w:tcPr>
            <w:tcW w:w="114" w:type="dxa"/>
            <w:tcBorders/>
            <w:vAlign w:val="center"/>
          </w:tcPr>
          <w:p>
            <w:pPr>
              <w:pStyle w:val="TableContents"/>
              <w:bidi w:val="0"/>
              <w:spacing w:before="0" w:after="283"/>
              <w:jc w:val="left"/>
              <w:rPr/>
            </w:pPr>
            <w:r>
              <w:rPr/>
              <w:t> </w:t>
            </w:r>
          </w:p>
        </w:tc>
      </w:tr>
      <w:tr>
        <w:trPr/>
        <w:tc>
          <w:tcPr>
            <w:tcW w:w="805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10" w:type="dxa"/>
            <w:gridSpan w:val="2"/>
            <w:tcBorders>
              <w:bottom w:val="single" w:sz="8" w:space="0" w:color="000000"/>
            </w:tcBorders>
            <w:tcMar>
              <w:bottom w:w="28" w:type="dxa"/>
            </w:tcMar>
            <w:vAlign w:val="center"/>
          </w:tcPr>
          <w:p>
            <w:pPr>
              <w:pStyle w:val="TableContents"/>
              <w:bidi w:val="0"/>
              <w:spacing w:before="0" w:after="283"/>
              <w:jc w:val="center"/>
              <w:rPr>
                <w:b/>
                <w:sz w:val="16"/>
              </w:rPr>
            </w:pPr>
            <w:r>
              <w:rPr>
                <w:b/>
                <w:sz w:val="16"/>
              </w:rPr>
              <w:t>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10" w:type="dxa"/>
            <w:gridSpan w:val="2"/>
            <w:tcBorders>
              <w:bottom w:val="single" w:sz="8" w:space="0" w:color="000000"/>
            </w:tcBorders>
            <w:tcMar>
              <w:bottom w:w="28" w:type="dxa"/>
            </w:tcMar>
            <w:vAlign w:val="center"/>
          </w:tcPr>
          <w:p>
            <w:pPr>
              <w:pStyle w:val="TableContents"/>
              <w:bidi w:val="0"/>
              <w:spacing w:before="0" w:after="283"/>
              <w:jc w:val="center"/>
              <w:rPr>
                <w:b/>
                <w:sz w:val="16"/>
              </w:rPr>
            </w:pPr>
            <w:r>
              <w:rPr>
                <w:b/>
                <w:sz w:val="16"/>
              </w:rPr>
              <w:t>2025</w:t>
            </w:r>
          </w:p>
        </w:tc>
        <w:tc>
          <w:tcPr>
            <w:tcW w:w="114" w:type="dxa"/>
            <w:tcBorders/>
            <w:vAlign w:val="center"/>
          </w:tcPr>
          <w:p>
            <w:pPr>
              <w:pStyle w:val="TableContents"/>
              <w:bidi w:val="0"/>
              <w:spacing w:before="0" w:after="283"/>
              <w:jc w:val="left"/>
              <w:rPr/>
            </w:pPr>
            <w:r>
              <w:rPr/>
              <w:t> </w:t>
            </w:r>
          </w:p>
        </w:tc>
      </w:tr>
      <w:tr>
        <w:trPr/>
        <w:tc>
          <w:tcPr>
            <w:tcW w:w="8056" w:type="dxa"/>
            <w:tcBorders/>
            <w:shd w:fill="CCEEFF" w:val="clear"/>
            <w:vAlign w:val="center"/>
          </w:tcPr>
          <w:p>
            <w:pPr>
              <w:pStyle w:val="TableContents"/>
              <w:bidi w:val="0"/>
              <w:spacing w:before="0" w:after="283"/>
              <w:jc w:val="left"/>
              <w:rPr>
                <w:color w:val="231F20"/>
                <w:sz w:val="20"/>
              </w:rPr>
            </w:pPr>
            <w:r>
              <w:rPr>
                <w:color w:val="231F20"/>
                <w:sz w:val="20"/>
              </w:rPr>
              <w:t>Cash flows from operating activities:</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769"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769" w:type="dxa"/>
            <w:tcBorders/>
            <w:shd w:fill="CCEEFF" w:val="clear"/>
            <w:vAlign w:val="center"/>
          </w:tcPr>
          <w:p>
            <w:pPr>
              <w:pStyle w:val="TableContents"/>
              <w:bidi w:val="0"/>
              <w:spacing w:before="0" w:after="283"/>
              <w:jc w:val="right"/>
              <w:rPr/>
            </w:pPr>
            <w:r>
              <w:rPr/>
              <w:t> </w:t>
            </w:r>
          </w:p>
        </w:tc>
        <w:tc>
          <w:tcPr>
            <w:tcW w:w="114" w:type="dxa"/>
            <w:tcBorders/>
            <w:shd w:fill="CCEEFF" w:val="clear"/>
            <w:vAlign w:val="center"/>
          </w:tcPr>
          <w:p>
            <w:pPr>
              <w:pStyle w:val="TableContents"/>
              <w:bidi w:val="0"/>
              <w:spacing w:before="0" w:after="283"/>
              <w:ind w:left="0" w:right="0" w:hanging="144"/>
              <w:jc w:val="left"/>
              <w:rPr/>
            </w:pPr>
            <w:r>
              <w:rPr/>
              <w:t> </w:t>
            </w:r>
          </w:p>
        </w:tc>
      </w:tr>
      <w:tr>
        <w:trPr/>
        <w:tc>
          <w:tcPr>
            <w:tcW w:w="8056" w:type="dxa"/>
            <w:tcBorders/>
            <w:shd w:fill="FFFFFF" w:val="clear"/>
            <w:vAlign w:val="center"/>
          </w:tcPr>
          <w:p>
            <w:pPr>
              <w:pStyle w:val="TableContents"/>
              <w:bidi w:val="0"/>
              <w:spacing w:before="0" w:after="283"/>
              <w:jc w:val="left"/>
              <w:rPr>
                <w:sz w:val="20"/>
              </w:rPr>
            </w:pPr>
            <w:r>
              <w:rPr>
                <w:sz w:val="20"/>
              </w:rPr>
              <w:t>Net loss</w:t>
            </w:r>
          </w:p>
        </w:tc>
        <w:tc>
          <w:tcPr>
            <w:tcW w:w="60" w:type="dxa"/>
            <w:tcBorders/>
            <w:shd w:fill="FFFFFF" w:val="clear"/>
            <w:vAlign w:val="center"/>
          </w:tcPr>
          <w:p>
            <w:pPr>
              <w:pStyle w:val="TableContents"/>
              <w:bidi w:val="0"/>
              <w:spacing w:before="0" w:after="283"/>
              <w:jc w:val="left"/>
              <w:rPr>
                <w:color w:val="231F20"/>
              </w:rPr>
            </w:pPr>
            <w:r>
              <w:rPr>
                <w:color w:val="231F20"/>
              </w:rPr>
              <w:t> </w:t>
            </w:r>
          </w:p>
        </w:tc>
        <w:tc>
          <w:tcPr>
            <w:tcW w:w="141" w:type="dxa"/>
            <w:tcBorders/>
            <w:shd w:fill="FFFFFF" w:val="clear"/>
            <w:vAlign w:val="center"/>
          </w:tcPr>
          <w:p>
            <w:pPr>
              <w:pStyle w:val="TableContents"/>
              <w:bidi w:val="0"/>
              <w:spacing w:before="0" w:after="283"/>
              <w:jc w:val="left"/>
              <w:rPr>
                <w:color w:val="231F20"/>
              </w:rPr>
            </w:pPr>
            <w:r>
              <w:rPr>
                <w:color w:val="231F20"/>
              </w:rPr>
              <w:t>$</w:t>
            </w:r>
          </w:p>
        </w:tc>
        <w:tc>
          <w:tcPr>
            <w:tcW w:w="769" w:type="dxa"/>
            <w:tcBorders/>
            <w:shd w:fill="FFFFFF" w:val="clear"/>
            <w:vAlign w:val="center"/>
          </w:tcPr>
          <w:p>
            <w:pPr>
              <w:pStyle w:val="TableContents"/>
              <w:bidi w:val="0"/>
              <w:spacing w:before="0" w:after="283"/>
              <w:jc w:val="right"/>
              <w:rPr>
                <w:color w:val="231F20"/>
              </w:rPr>
            </w:pPr>
            <w:r>
              <w:rPr>
                <w:color w:val="231F20"/>
              </w:rPr>
              <w:t>(12,281</w:t>
            </w:r>
          </w:p>
        </w:tc>
        <w:tc>
          <w:tcPr>
            <w:tcW w:w="95" w:type="dxa"/>
            <w:tcBorders/>
            <w:shd w:fill="FFFFFF" w:val="clear"/>
            <w:vAlign w:val="center"/>
          </w:tcPr>
          <w:p>
            <w:pPr>
              <w:pStyle w:val="TableContents"/>
              <w:bidi w:val="0"/>
              <w:spacing w:before="0" w:after="283"/>
              <w:jc w:val="left"/>
              <w:rPr>
                <w:color w:val="231F20"/>
              </w:rPr>
            </w:pPr>
            <w:r>
              <w:rPr>
                <w:color w:val="231F20"/>
              </w:rPr>
              <w:t>)</w:t>
            </w:r>
          </w:p>
        </w:tc>
        <w:tc>
          <w:tcPr>
            <w:tcW w:w="60" w:type="dxa"/>
            <w:tcBorders/>
            <w:shd w:fill="FFFFFF" w:val="clear"/>
            <w:vAlign w:val="center"/>
          </w:tcPr>
          <w:p>
            <w:pPr>
              <w:pStyle w:val="TableContents"/>
              <w:bidi w:val="0"/>
              <w:spacing w:before="0" w:after="283"/>
              <w:jc w:val="left"/>
              <w:rPr>
                <w:color w:val="231F20"/>
              </w:rPr>
            </w:pPr>
            <w:r>
              <w:rPr>
                <w:color w:val="231F20"/>
              </w:rPr>
              <w:t> </w:t>
            </w:r>
          </w:p>
        </w:tc>
        <w:tc>
          <w:tcPr>
            <w:tcW w:w="141" w:type="dxa"/>
            <w:tcBorders/>
            <w:shd w:fill="FFFFFF" w:val="clear"/>
            <w:vAlign w:val="center"/>
          </w:tcPr>
          <w:p>
            <w:pPr>
              <w:pStyle w:val="TableContents"/>
              <w:bidi w:val="0"/>
              <w:spacing w:before="0" w:after="283"/>
              <w:jc w:val="left"/>
              <w:rPr>
                <w:color w:val="231F20"/>
              </w:rPr>
            </w:pPr>
            <w:r>
              <w:rPr>
                <w:color w:val="231F20"/>
              </w:rPr>
              <w:t>$</w:t>
            </w:r>
          </w:p>
        </w:tc>
        <w:tc>
          <w:tcPr>
            <w:tcW w:w="769" w:type="dxa"/>
            <w:tcBorders/>
            <w:shd w:fill="FFFFFF" w:val="clear"/>
            <w:vAlign w:val="center"/>
          </w:tcPr>
          <w:p>
            <w:pPr>
              <w:pStyle w:val="TableContents"/>
              <w:bidi w:val="0"/>
              <w:spacing w:before="0" w:after="283"/>
              <w:jc w:val="right"/>
              <w:rPr>
                <w:color w:val="231F20"/>
              </w:rPr>
            </w:pPr>
            <w:r>
              <w:rPr>
                <w:color w:val="231F20"/>
              </w:rPr>
              <w:t>(36,594</w:t>
            </w:r>
          </w:p>
        </w:tc>
        <w:tc>
          <w:tcPr>
            <w:tcW w:w="114" w:type="dxa"/>
            <w:tcBorders/>
            <w:shd w:fill="FFFFFF" w:val="clear"/>
            <w:vAlign w:val="center"/>
          </w:tcPr>
          <w:p>
            <w:pPr>
              <w:pStyle w:val="TableContents"/>
              <w:bidi w:val="0"/>
              <w:spacing w:before="0" w:after="283"/>
              <w:ind w:left="0" w:right="0" w:hanging="144"/>
              <w:jc w:val="left"/>
              <w:rPr>
                <w:color w:val="231F20"/>
              </w:rPr>
            </w:pPr>
            <w:r>
              <w:rPr>
                <w:color w:val="231F20"/>
              </w:rPr>
              <w:t>)</w:t>
            </w:r>
          </w:p>
        </w:tc>
      </w:tr>
      <w:tr>
        <w:trPr/>
        <w:tc>
          <w:tcPr>
            <w:tcW w:w="8056" w:type="dxa"/>
            <w:tcBorders/>
            <w:shd w:fill="CCEEFF" w:val="clear"/>
            <w:vAlign w:val="center"/>
          </w:tcPr>
          <w:p>
            <w:pPr>
              <w:pStyle w:val="TableContents"/>
              <w:bidi w:val="0"/>
              <w:spacing w:before="0" w:after="283"/>
              <w:jc w:val="left"/>
              <w:rPr>
                <w:color w:val="231F20"/>
              </w:rPr>
            </w:pPr>
            <w:r>
              <w:rPr>
                <w:color w:val="231F20"/>
              </w:rPr>
              <w:t>Adjustments to reconcile net loss to cash and cash equivalents used in operating activities:</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769"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769" w:type="dxa"/>
            <w:tcBorders/>
            <w:shd w:fill="CCEEFF" w:val="clear"/>
            <w:vAlign w:val="center"/>
          </w:tcPr>
          <w:p>
            <w:pPr>
              <w:pStyle w:val="TableContents"/>
              <w:bidi w:val="0"/>
              <w:spacing w:before="0" w:after="283"/>
              <w:jc w:val="right"/>
              <w:rPr/>
            </w:pPr>
            <w:r>
              <w:rPr/>
              <w:t> </w:t>
            </w:r>
          </w:p>
        </w:tc>
        <w:tc>
          <w:tcPr>
            <w:tcW w:w="114" w:type="dxa"/>
            <w:tcBorders/>
            <w:shd w:fill="CCEEFF" w:val="clear"/>
            <w:vAlign w:val="center"/>
          </w:tcPr>
          <w:p>
            <w:pPr>
              <w:pStyle w:val="TableContents"/>
              <w:bidi w:val="0"/>
              <w:spacing w:before="0" w:after="283"/>
              <w:ind w:left="0" w:right="0" w:hanging="144"/>
              <w:jc w:val="left"/>
              <w:rPr/>
            </w:pPr>
            <w:r>
              <w:rPr/>
              <w:t> </w:t>
            </w:r>
          </w:p>
        </w:tc>
      </w:tr>
      <w:tr>
        <w:trPr/>
        <w:tc>
          <w:tcPr>
            <w:tcW w:w="8056" w:type="dxa"/>
            <w:tcBorders/>
            <w:shd w:fill="FFFFFF" w:val="clear"/>
            <w:vAlign w:val="center"/>
          </w:tcPr>
          <w:p>
            <w:pPr>
              <w:pStyle w:val="TableContents"/>
              <w:bidi w:val="0"/>
              <w:spacing w:before="0" w:after="283"/>
              <w:jc w:val="left"/>
              <w:rPr>
                <w:color w:val="231F20"/>
                <w:sz w:val="20"/>
              </w:rPr>
            </w:pPr>
            <w:r>
              <w:rPr>
                <w:color w:val="231F20"/>
                <w:sz w:val="20"/>
              </w:rPr>
              <w:t>Depreciation and amortization</w:t>
            </w:r>
          </w:p>
        </w:tc>
        <w:tc>
          <w:tcPr>
            <w:tcW w:w="60" w:type="dxa"/>
            <w:tcBorders/>
            <w:shd w:fill="FFFFFF" w:val="clear"/>
            <w:vAlign w:val="center"/>
          </w:tcPr>
          <w:p>
            <w:pPr>
              <w:pStyle w:val="TableContents"/>
              <w:bidi w:val="0"/>
              <w:spacing w:before="0" w:after="283"/>
              <w:jc w:val="left"/>
              <w:rPr>
                <w:color w:val="231F20"/>
              </w:rPr>
            </w:pPr>
            <w:r>
              <w:rPr>
                <w:color w:val="231F20"/>
              </w:rPr>
              <w:t> </w:t>
            </w:r>
          </w:p>
        </w:tc>
        <w:tc>
          <w:tcPr>
            <w:tcW w:w="141" w:type="dxa"/>
            <w:tcBorders/>
            <w:shd w:fill="FFFFFF" w:val="clear"/>
            <w:vAlign w:val="center"/>
          </w:tcPr>
          <w:p>
            <w:pPr>
              <w:pStyle w:val="TableContents"/>
              <w:bidi w:val="0"/>
              <w:spacing w:before="0" w:after="283"/>
              <w:jc w:val="left"/>
              <w:rPr>
                <w:color w:val="231F20"/>
              </w:rPr>
            </w:pPr>
            <w:r>
              <w:rPr>
                <w:color w:val="231F20"/>
              </w:rPr>
              <w:t> </w:t>
            </w:r>
          </w:p>
        </w:tc>
        <w:tc>
          <w:tcPr>
            <w:tcW w:w="769" w:type="dxa"/>
            <w:tcBorders/>
            <w:shd w:fill="FFFFFF" w:val="clear"/>
            <w:vAlign w:val="center"/>
          </w:tcPr>
          <w:p>
            <w:pPr>
              <w:pStyle w:val="TableContents"/>
              <w:bidi w:val="0"/>
              <w:spacing w:before="0" w:after="283"/>
              <w:jc w:val="right"/>
              <w:rPr>
                <w:color w:val="231F20"/>
              </w:rPr>
            </w:pPr>
            <w:r>
              <w:rPr>
                <w:color w:val="231F20"/>
              </w:rPr>
              <w:t>3,454</w:t>
            </w:r>
          </w:p>
        </w:tc>
        <w:tc>
          <w:tcPr>
            <w:tcW w:w="95" w:type="dxa"/>
            <w:tcBorders/>
            <w:shd w:fill="FFFFFF" w:val="clear"/>
            <w:vAlign w:val="center"/>
          </w:tcPr>
          <w:p>
            <w:pPr>
              <w:pStyle w:val="TableContents"/>
              <w:bidi w:val="0"/>
              <w:spacing w:before="0" w:after="283"/>
              <w:jc w:val="left"/>
              <w:rPr>
                <w:color w:val="231F20"/>
              </w:rPr>
            </w:pPr>
            <w:r>
              <w:rPr>
                <w:color w:val="231F20"/>
              </w:rPr>
              <w:t> </w:t>
            </w:r>
          </w:p>
        </w:tc>
        <w:tc>
          <w:tcPr>
            <w:tcW w:w="60" w:type="dxa"/>
            <w:tcBorders/>
            <w:shd w:fill="FFFFFF" w:val="clear"/>
            <w:vAlign w:val="center"/>
          </w:tcPr>
          <w:p>
            <w:pPr>
              <w:pStyle w:val="TableContents"/>
              <w:bidi w:val="0"/>
              <w:spacing w:before="0" w:after="283"/>
              <w:jc w:val="left"/>
              <w:rPr>
                <w:color w:val="231F20"/>
              </w:rPr>
            </w:pPr>
            <w:r>
              <w:rPr>
                <w:color w:val="231F20"/>
              </w:rPr>
              <w:t> </w:t>
            </w:r>
          </w:p>
        </w:tc>
        <w:tc>
          <w:tcPr>
            <w:tcW w:w="141" w:type="dxa"/>
            <w:tcBorders/>
            <w:shd w:fill="FFFFFF" w:val="clear"/>
            <w:vAlign w:val="center"/>
          </w:tcPr>
          <w:p>
            <w:pPr>
              <w:pStyle w:val="TableContents"/>
              <w:bidi w:val="0"/>
              <w:spacing w:before="0" w:after="283"/>
              <w:jc w:val="left"/>
              <w:rPr>
                <w:color w:val="231F20"/>
              </w:rPr>
            </w:pPr>
            <w:r>
              <w:rPr>
                <w:color w:val="231F20"/>
              </w:rPr>
              <w:t> </w:t>
            </w:r>
          </w:p>
        </w:tc>
        <w:tc>
          <w:tcPr>
            <w:tcW w:w="769" w:type="dxa"/>
            <w:tcBorders/>
            <w:shd w:fill="FFFFFF" w:val="clear"/>
            <w:vAlign w:val="center"/>
          </w:tcPr>
          <w:p>
            <w:pPr>
              <w:pStyle w:val="TableContents"/>
              <w:bidi w:val="0"/>
              <w:spacing w:before="0" w:after="283"/>
              <w:jc w:val="right"/>
              <w:rPr>
                <w:color w:val="231F20"/>
              </w:rPr>
            </w:pPr>
            <w:r>
              <w:rPr>
                <w:color w:val="231F20"/>
              </w:rPr>
              <w:t>3,589</w:t>
            </w:r>
          </w:p>
        </w:tc>
        <w:tc>
          <w:tcPr>
            <w:tcW w:w="114" w:type="dxa"/>
            <w:tcBorders/>
            <w:shd w:fill="FFFFFF" w:val="clear"/>
            <w:vAlign w:val="center"/>
          </w:tcPr>
          <w:p>
            <w:pPr>
              <w:pStyle w:val="TableContents"/>
              <w:bidi w:val="0"/>
              <w:spacing w:before="0" w:after="283"/>
              <w:ind w:left="0" w:right="0" w:hanging="144"/>
              <w:jc w:val="left"/>
              <w:rPr>
                <w:color w:val="231F20"/>
              </w:rPr>
            </w:pPr>
            <w:r>
              <w:rPr>
                <w:color w:val="231F20"/>
              </w:rPr>
              <w:t> </w:t>
            </w:r>
          </w:p>
        </w:tc>
      </w:tr>
      <w:tr>
        <w:trPr/>
        <w:tc>
          <w:tcPr>
            <w:tcW w:w="8056" w:type="dxa"/>
            <w:tcBorders/>
            <w:shd w:fill="CCEEFF" w:val="clear"/>
            <w:vAlign w:val="center"/>
          </w:tcPr>
          <w:p>
            <w:pPr>
              <w:pStyle w:val="TableContents"/>
              <w:bidi w:val="0"/>
              <w:spacing w:before="0" w:after="283"/>
              <w:jc w:val="left"/>
              <w:rPr>
                <w:color w:val="231F20"/>
                <w:sz w:val="20"/>
              </w:rPr>
            </w:pPr>
            <w:r>
              <w:rPr>
                <w:color w:val="231F20"/>
                <w:sz w:val="20"/>
              </w:rPr>
              <w:t>Amortization of debt issuance costs and debt discount</w:t>
            </w:r>
          </w:p>
        </w:tc>
        <w:tc>
          <w:tcPr>
            <w:tcW w:w="60" w:type="dxa"/>
            <w:tcBorders/>
            <w:shd w:fill="CCEEFF" w:val="clear"/>
            <w:vAlign w:val="center"/>
          </w:tcPr>
          <w:p>
            <w:pPr>
              <w:pStyle w:val="TableContents"/>
              <w:bidi w:val="0"/>
              <w:spacing w:before="0" w:after="283"/>
              <w:jc w:val="left"/>
              <w:rPr>
                <w:color w:val="231F20"/>
              </w:rPr>
            </w:pPr>
            <w:r>
              <w:rPr>
                <w:color w:val="231F20"/>
              </w:rPr>
              <w:t> </w:t>
            </w:r>
          </w:p>
        </w:tc>
        <w:tc>
          <w:tcPr>
            <w:tcW w:w="141" w:type="dxa"/>
            <w:tcBorders/>
            <w:shd w:fill="CCEEFF" w:val="clear"/>
            <w:vAlign w:val="center"/>
          </w:tcPr>
          <w:p>
            <w:pPr>
              <w:pStyle w:val="TableContents"/>
              <w:bidi w:val="0"/>
              <w:spacing w:before="0" w:after="283"/>
              <w:jc w:val="left"/>
              <w:rPr>
                <w:color w:val="231F20"/>
              </w:rPr>
            </w:pPr>
            <w:r>
              <w:rPr>
                <w:color w:val="231F20"/>
              </w:rPr>
              <w:t> </w:t>
            </w:r>
          </w:p>
        </w:tc>
        <w:tc>
          <w:tcPr>
            <w:tcW w:w="769" w:type="dxa"/>
            <w:tcBorders/>
            <w:shd w:fill="CCEEFF" w:val="clear"/>
            <w:vAlign w:val="center"/>
          </w:tcPr>
          <w:p>
            <w:pPr>
              <w:pStyle w:val="TableContents"/>
              <w:bidi w:val="0"/>
              <w:spacing w:before="0" w:after="283"/>
              <w:jc w:val="right"/>
              <w:rPr>
                <w:color w:val="231F20"/>
              </w:rPr>
            </w:pPr>
            <w:r>
              <w:rPr>
                <w:color w:val="231F20"/>
              </w:rPr>
              <w:t>2,467</w:t>
            </w:r>
          </w:p>
        </w:tc>
        <w:tc>
          <w:tcPr>
            <w:tcW w:w="95" w:type="dxa"/>
            <w:tcBorders/>
            <w:shd w:fill="CCEEFF" w:val="clear"/>
            <w:vAlign w:val="center"/>
          </w:tcPr>
          <w:p>
            <w:pPr>
              <w:pStyle w:val="TableContents"/>
              <w:bidi w:val="0"/>
              <w:spacing w:before="0" w:after="283"/>
              <w:jc w:val="left"/>
              <w:rPr>
                <w:color w:val="231F20"/>
              </w:rPr>
            </w:pPr>
            <w:r>
              <w:rPr>
                <w:color w:val="231F20"/>
              </w:rPr>
              <w:t> </w:t>
            </w:r>
          </w:p>
        </w:tc>
        <w:tc>
          <w:tcPr>
            <w:tcW w:w="60" w:type="dxa"/>
            <w:tcBorders/>
            <w:shd w:fill="CCEEFF" w:val="clear"/>
            <w:vAlign w:val="center"/>
          </w:tcPr>
          <w:p>
            <w:pPr>
              <w:pStyle w:val="TableContents"/>
              <w:bidi w:val="0"/>
              <w:spacing w:before="0" w:after="283"/>
              <w:jc w:val="left"/>
              <w:rPr>
                <w:color w:val="231F20"/>
              </w:rPr>
            </w:pPr>
            <w:r>
              <w:rPr>
                <w:color w:val="231F20"/>
              </w:rPr>
              <w:t> </w:t>
            </w:r>
          </w:p>
        </w:tc>
        <w:tc>
          <w:tcPr>
            <w:tcW w:w="141" w:type="dxa"/>
            <w:tcBorders/>
            <w:shd w:fill="CCEEFF" w:val="clear"/>
            <w:vAlign w:val="center"/>
          </w:tcPr>
          <w:p>
            <w:pPr>
              <w:pStyle w:val="TableContents"/>
              <w:bidi w:val="0"/>
              <w:spacing w:before="0" w:after="283"/>
              <w:jc w:val="left"/>
              <w:rPr>
                <w:color w:val="231F20"/>
              </w:rPr>
            </w:pPr>
            <w:r>
              <w:rPr>
                <w:color w:val="231F20"/>
              </w:rPr>
              <w:t> </w:t>
            </w:r>
          </w:p>
        </w:tc>
        <w:tc>
          <w:tcPr>
            <w:tcW w:w="769" w:type="dxa"/>
            <w:tcBorders/>
            <w:shd w:fill="CCEEFF" w:val="clear"/>
            <w:vAlign w:val="center"/>
          </w:tcPr>
          <w:p>
            <w:pPr>
              <w:pStyle w:val="TableContents"/>
              <w:bidi w:val="0"/>
              <w:spacing w:before="0" w:after="283"/>
              <w:jc w:val="right"/>
              <w:rPr>
                <w:color w:val="231F20"/>
              </w:rPr>
            </w:pPr>
            <w:r>
              <w:rPr>
                <w:color w:val="231F20"/>
              </w:rPr>
              <w:t>6,003</w:t>
            </w:r>
          </w:p>
        </w:tc>
        <w:tc>
          <w:tcPr>
            <w:tcW w:w="114" w:type="dxa"/>
            <w:tcBorders/>
            <w:shd w:fill="CCEEFF" w:val="clear"/>
            <w:vAlign w:val="center"/>
          </w:tcPr>
          <w:p>
            <w:pPr>
              <w:pStyle w:val="TableContents"/>
              <w:bidi w:val="0"/>
              <w:spacing w:before="0" w:after="283"/>
              <w:ind w:left="0" w:right="0" w:hanging="144"/>
              <w:jc w:val="left"/>
              <w:rPr>
                <w:color w:val="231F20"/>
              </w:rPr>
            </w:pPr>
            <w:r>
              <w:rPr>
                <w:color w:val="231F20"/>
              </w:rPr>
              <w:t> </w:t>
            </w:r>
          </w:p>
        </w:tc>
      </w:tr>
      <w:tr>
        <w:trPr/>
        <w:tc>
          <w:tcPr>
            <w:tcW w:w="8056" w:type="dxa"/>
            <w:tcBorders/>
            <w:shd w:fill="FFFFFF" w:val="clear"/>
            <w:vAlign w:val="center"/>
          </w:tcPr>
          <w:p>
            <w:pPr>
              <w:pStyle w:val="TableContents"/>
              <w:bidi w:val="0"/>
              <w:spacing w:before="0" w:after="283"/>
              <w:jc w:val="left"/>
              <w:rPr>
                <w:color w:val="231F20"/>
                <w:sz w:val="20"/>
              </w:rPr>
            </w:pPr>
            <w:r>
              <w:rPr>
                <w:color w:val="231F20"/>
                <w:sz w:val="20"/>
              </w:rPr>
              <w:t>Write-off of assets from clinical trials segment</w:t>
            </w:r>
          </w:p>
        </w:tc>
        <w:tc>
          <w:tcPr>
            <w:tcW w:w="60" w:type="dxa"/>
            <w:tcBorders/>
            <w:shd w:fill="FFFFFF" w:val="clear"/>
            <w:vAlign w:val="center"/>
          </w:tcPr>
          <w:p>
            <w:pPr>
              <w:pStyle w:val="TableContents"/>
              <w:bidi w:val="0"/>
              <w:spacing w:before="0" w:after="283"/>
              <w:jc w:val="left"/>
              <w:rPr>
                <w:color w:val="231F20"/>
              </w:rPr>
            </w:pPr>
            <w:r>
              <w:rPr>
                <w:color w:val="231F20"/>
              </w:rPr>
              <w:t> </w:t>
            </w:r>
          </w:p>
        </w:tc>
        <w:tc>
          <w:tcPr>
            <w:tcW w:w="141" w:type="dxa"/>
            <w:tcBorders/>
            <w:shd w:fill="FFFFFF" w:val="clear"/>
            <w:vAlign w:val="center"/>
          </w:tcPr>
          <w:p>
            <w:pPr>
              <w:pStyle w:val="TableContents"/>
              <w:bidi w:val="0"/>
              <w:spacing w:before="0" w:after="283"/>
              <w:jc w:val="left"/>
              <w:rPr>
                <w:color w:val="231F20"/>
              </w:rPr>
            </w:pPr>
            <w:r>
              <w:rPr>
                <w:color w:val="231F20"/>
              </w:rPr>
              <w:t> </w:t>
            </w:r>
          </w:p>
        </w:tc>
        <w:tc>
          <w:tcPr>
            <w:tcW w:w="769" w:type="dxa"/>
            <w:tcBorders/>
            <w:shd w:fill="FFFFFF" w:val="clear"/>
            <w:vAlign w:val="center"/>
          </w:tcPr>
          <w:p>
            <w:pPr>
              <w:pStyle w:val="TableContents"/>
              <w:bidi w:val="0"/>
              <w:spacing w:before="0" w:after="283"/>
              <w:jc w:val="right"/>
              <w:rPr>
                <w:color w:val="231F20"/>
              </w:rPr>
            </w:pPr>
            <w:r>
              <w:rPr>
                <w:color w:val="231F20"/>
              </w:rPr>
              <w:t>—</w:t>
            </w:r>
          </w:p>
        </w:tc>
        <w:tc>
          <w:tcPr>
            <w:tcW w:w="95" w:type="dxa"/>
            <w:tcBorders/>
            <w:shd w:fill="FFFFFF" w:val="clear"/>
            <w:vAlign w:val="center"/>
          </w:tcPr>
          <w:p>
            <w:pPr>
              <w:pStyle w:val="TableContents"/>
              <w:bidi w:val="0"/>
              <w:spacing w:before="0" w:after="283"/>
              <w:jc w:val="left"/>
              <w:rPr>
                <w:color w:val="231F20"/>
              </w:rPr>
            </w:pPr>
            <w:r>
              <w:rPr>
                <w:color w:val="231F20"/>
              </w:rPr>
              <w:t> </w:t>
            </w:r>
          </w:p>
        </w:tc>
        <w:tc>
          <w:tcPr>
            <w:tcW w:w="60" w:type="dxa"/>
            <w:tcBorders/>
            <w:shd w:fill="FFFFFF" w:val="clear"/>
            <w:vAlign w:val="center"/>
          </w:tcPr>
          <w:p>
            <w:pPr>
              <w:pStyle w:val="TableContents"/>
              <w:bidi w:val="0"/>
              <w:spacing w:before="0" w:after="283"/>
              <w:jc w:val="left"/>
              <w:rPr>
                <w:color w:val="231F20"/>
              </w:rPr>
            </w:pPr>
            <w:r>
              <w:rPr>
                <w:color w:val="231F20"/>
              </w:rPr>
              <w:t> </w:t>
            </w:r>
          </w:p>
        </w:tc>
        <w:tc>
          <w:tcPr>
            <w:tcW w:w="141" w:type="dxa"/>
            <w:tcBorders/>
            <w:shd w:fill="FFFFFF" w:val="clear"/>
            <w:vAlign w:val="center"/>
          </w:tcPr>
          <w:p>
            <w:pPr>
              <w:pStyle w:val="TableContents"/>
              <w:bidi w:val="0"/>
              <w:spacing w:before="0" w:after="283"/>
              <w:jc w:val="left"/>
              <w:rPr>
                <w:color w:val="231F20"/>
              </w:rPr>
            </w:pPr>
            <w:r>
              <w:rPr>
                <w:color w:val="231F20"/>
              </w:rPr>
              <w:t> </w:t>
            </w:r>
          </w:p>
        </w:tc>
        <w:tc>
          <w:tcPr>
            <w:tcW w:w="769" w:type="dxa"/>
            <w:tcBorders/>
            <w:shd w:fill="FFFFFF" w:val="clear"/>
            <w:vAlign w:val="center"/>
          </w:tcPr>
          <w:p>
            <w:pPr>
              <w:pStyle w:val="TableContents"/>
              <w:bidi w:val="0"/>
              <w:spacing w:before="0" w:after="283"/>
              <w:jc w:val="right"/>
              <w:rPr>
                <w:color w:val="231F20"/>
              </w:rPr>
            </w:pPr>
            <w:r>
              <w:rPr>
                <w:color w:val="231F20"/>
              </w:rPr>
              <w:t>2,398</w:t>
            </w:r>
          </w:p>
        </w:tc>
        <w:tc>
          <w:tcPr>
            <w:tcW w:w="114" w:type="dxa"/>
            <w:tcBorders/>
            <w:shd w:fill="FFFFFF" w:val="clear"/>
            <w:vAlign w:val="center"/>
          </w:tcPr>
          <w:p>
            <w:pPr>
              <w:pStyle w:val="TableContents"/>
              <w:bidi w:val="0"/>
              <w:spacing w:before="0" w:after="283"/>
              <w:ind w:left="0" w:right="0" w:hanging="144"/>
              <w:jc w:val="left"/>
              <w:rPr>
                <w:color w:val="231F20"/>
              </w:rPr>
            </w:pPr>
            <w:r>
              <w:rPr>
                <w:color w:val="231F20"/>
              </w:rPr>
              <w:t> </w:t>
            </w:r>
          </w:p>
        </w:tc>
      </w:tr>
      <w:tr>
        <w:trPr/>
        <w:tc>
          <w:tcPr>
            <w:tcW w:w="8056" w:type="dxa"/>
            <w:tcBorders/>
            <w:shd w:fill="CCEEFF" w:val="clear"/>
            <w:vAlign w:val="center"/>
          </w:tcPr>
          <w:p>
            <w:pPr>
              <w:pStyle w:val="TableContents"/>
              <w:bidi w:val="0"/>
              <w:spacing w:before="0" w:after="283"/>
              <w:jc w:val="left"/>
              <w:rPr>
                <w:color w:val="231F20"/>
                <w:sz w:val="20"/>
              </w:rPr>
            </w:pPr>
            <w:r>
              <w:rPr>
                <w:color w:val="231F20"/>
                <w:sz w:val="20"/>
              </w:rPr>
              <w:t>Share-based compensation</w:t>
            </w:r>
          </w:p>
        </w:tc>
        <w:tc>
          <w:tcPr>
            <w:tcW w:w="60" w:type="dxa"/>
            <w:tcBorders/>
            <w:shd w:fill="CCEEFF" w:val="clear"/>
            <w:vAlign w:val="center"/>
          </w:tcPr>
          <w:p>
            <w:pPr>
              <w:pStyle w:val="TableContents"/>
              <w:bidi w:val="0"/>
              <w:spacing w:before="0" w:after="283"/>
              <w:jc w:val="left"/>
              <w:rPr>
                <w:color w:val="231F20"/>
              </w:rPr>
            </w:pPr>
            <w:r>
              <w:rPr>
                <w:color w:val="231F20"/>
              </w:rPr>
              <w:t> </w:t>
            </w:r>
          </w:p>
        </w:tc>
        <w:tc>
          <w:tcPr>
            <w:tcW w:w="141" w:type="dxa"/>
            <w:tcBorders/>
            <w:shd w:fill="CCEEFF" w:val="clear"/>
            <w:vAlign w:val="center"/>
          </w:tcPr>
          <w:p>
            <w:pPr>
              <w:pStyle w:val="TableContents"/>
              <w:bidi w:val="0"/>
              <w:spacing w:before="0" w:after="283"/>
              <w:jc w:val="left"/>
              <w:rPr>
                <w:color w:val="231F20"/>
              </w:rPr>
            </w:pPr>
            <w:r>
              <w:rPr>
                <w:color w:val="231F20"/>
              </w:rPr>
              <w:t> </w:t>
            </w:r>
          </w:p>
        </w:tc>
        <w:tc>
          <w:tcPr>
            <w:tcW w:w="769" w:type="dxa"/>
            <w:tcBorders/>
            <w:shd w:fill="CCEEFF" w:val="clear"/>
            <w:vAlign w:val="center"/>
          </w:tcPr>
          <w:p>
            <w:pPr>
              <w:pStyle w:val="TableContents"/>
              <w:bidi w:val="0"/>
              <w:spacing w:before="0" w:after="283"/>
              <w:jc w:val="right"/>
              <w:rPr>
                <w:color w:val="231F20"/>
              </w:rPr>
            </w:pPr>
            <w:r>
              <w:rPr>
                <w:color w:val="231F20"/>
              </w:rPr>
              <w:t>2,756</w:t>
            </w:r>
          </w:p>
        </w:tc>
        <w:tc>
          <w:tcPr>
            <w:tcW w:w="95" w:type="dxa"/>
            <w:tcBorders/>
            <w:shd w:fill="CCEEFF" w:val="clear"/>
            <w:vAlign w:val="center"/>
          </w:tcPr>
          <w:p>
            <w:pPr>
              <w:pStyle w:val="TableContents"/>
              <w:bidi w:val="0"/>
              <w:spacing w:before="0" w:after="283"/>
              <w:jc w:val="left"/>
              <w:rPr>
                <w:color w:val="231F20"/>
              </w:rPr>
            </w:pPr>
            <w:r>
              <w:rPr>
                <w:color w:val="231F20"/>
              </w:rPr>
              <w:t> </w:t>
            </w:r>
          </w:p>
        </w:tc>
        <w:tc>
          <w:tcPr>
            <w:tcW w:w="60" w:type="dxa"/>
            <w:tcBorders/>
            <w:shd w:fill="CCEEFF" w:val="clear"/>
            <w:vAlign w:val="center"/>
          </w:tcPr>
          <w:p>
            <w:pPr>
              <w:pStyle w:val="TableContents"/>
              <w:bidi w:val="0"/>
              <w:spacing w:before="0" w:after="283"/>
              <w:jc w:val="left"/>
              <w:rPr>
                <w:color w:val="231F20"/>
              </w:rPr>
            </w:pPr>
            <w:r>
              <w:rPr>
                <w:color w:val="231F20"/>
              </w:rPr>
              <w:t> </w:t>
            </w:r>
          </w:p>
        </w:tc>
        <w:tc>
          <w:tcPr>
            <w:tcW w:w="141" w:type="dxa"/>
            <w:tcBorders/>
            <w:shd w:fill="CCEEFF" w:val="clear"/>
            <w:vAlign w:val="center"/>
          </w:tcPr>
          <w:p>
            <w:pPr>
              <w:pStyle w:val="TableContents"/>
              <w:bidi w:val="0"/>
              <w:spacing w:before="0" w:after="283"/>
              <w:jc w:val="left"/>
              <w:rPr>
                <w:color w:val="231F20"/>
              </w:rPr>
            </w:pPr>
            <w:r>
              <w:rPr>
                <w:color w:val="231F20"/>
              </w:rPr>
              <w:t> </w:t>
            </w:r>
          </w:p>
        </w:tc>
        <w:tc>
          <w:tcPr>
            <w:tcW w:w="769" w:type="dxa"/>
            <w:tcBorders/>
            <w:shd w:fill="CCEEFF" w:val="clear"/>
            <w:vAlign w:val="center"/>
          </w:tcPr>
          <w:p>
            <w:pPr>
              <w:pStyle w:val="TableContents"/>
              <w:bidi w:val="0"/>
              <w:spacing w:before="0" w:after="283"/>
              <w:jc w:val="right"/>
              <w:rPr>
                <w:color w:val="231F20"/>
              </w:rPr>
            </w:pPr>
            <w:r>
              <w:rPr>
                <w:color w:val="231F20"/>
              </w:rPr>
              <w:t>2,210</w:t>
            </w:r>
          </w:p>
        </w:tc>
        <w:tc>
          <w:tcPr>
            <w:tcW w:w="114" w:type="dxa"/>
            <w:tcBorders/>
            <w:shd w:fill="CCEEFF" w:val="clear"/>
            <w:vAlign w:val="center"/>
          </w:tcPr>
          <w:p>
            <w:pPr>
              <w:pStyle w:val="TableContents"/>
              <w:bidi w:val="0"/>
              <w:spacing w:before="0" w:after="283"/>
              <w:ind w:left="0" w:right="0" w:hanging="144"/>
              <w:jc w:val="left"/>
              <w:rPr>
                <w:color w:val="231F20"/>
              </w:rPr>
            </w:pPr>
            <w:r>
              <w:rPr>
                <w:color w:val="231F20"/>
              </w:rPr>
              <w:t> </w:t>
            </w:r>
          </w:p>
        </w:tc>
      </w:tr>
      <w:tr>
        <w:trPr/>
        <w:tc>
          <w:tcPr>
            <w:tcW w:w="8056" w:type="dxa"/>
            <w:tcBorders/>
            <w:shd w:fill="FFFFFF" w:val="clear"/>
            <w:vAlign w:val="center"/>
          </w:tcPr>
          <w:p>
            <w:pPr>
              <w:pStyle w:val="TableContents"/>
              <w:bidi w:val="0"/>
              <w:spacing w:before="0" w:after="283"/>
              <w:jc w:val="left"/>
              <w:rPr>
                <w:color w:val="231F20"/>
                <w:sz w:val="20"/>
              </w:rPr>
            </w:pPr>
            <w:r>
              <w:rPr>
                <w:color w:val="231F20"/>
                <w:sz w:val="20"/>
              </w:rPr>
              <w:t>Change in fair value of liability classified warrants</w:t>
            </w:r>
          </w:p>
        </w:tc>
        <w:tc>
          <w:tcPr>
            <w:tcW w:w="60" w:type="dxa"/>
            <w:tcBorders/>
            <w:shd w:fill="FFFFFF" w:val="clear"/>
            <w:vAlign w:val="center"/>
          </w:tcPr>
          <w:p>
            <w:pPr>
              <w:pStyle w:val="TableContents"/>
              <w:bidi w:val="0"/>
              <w:spacing w:before="0" w:after="283"/>
              <w:jc w:val="left"/>
              <w:rPr>
                <w:color w:val="231F20"/>
              </w:rPr>
            </w:pPr>
            <w:r>
              <w:rPr>
                <w:color w:val="231F20"/>
              </w:rPr>
              <w:t> </w:t>
            </w:r>
          </w:p>
        </w:tc>
        <w:tc>
          <w:tcPr>
            <w:tcW w:w="141" w:type="dxa"/>
            <w:tcBorders/>
            <w:shd w:fill="FFFFFF" w:val="clear"/>
            <w:vAlign w:val="center"/>
          </w:tcPr>
          <w:p>
            <w:pPr>
              <w:pStyle w:val="TableContents"/>
              <w:bidi w:val="0"/>
              <w:spacing w:before="0" w:after="283"/>
              <w:jc w:val="left"/>
              <w:rPr>
                <w:color w:val="231F20"/>
              </w:rPr>
            </w:pPr>
            <w:r>
              <w:rPr>
                <w:color w:val="231F20"/>
              </w:rPr>
              <w:t> </w:t>
            </w:r>
          </w:p>
        </w:tc>
        <w:tc>
          <w:tcPr>
            <w:tcW w:w="769" w:type="dxa"/>
            <w:tcBorders/>
            <w:shd w:fill="FFFFFF" w:val="clear"/>
            <w:vAlign w:val="center"/>
          </w:tcPr>
          <w:p>
            <w:pPr>
              <w:pStyle w:val="TableContents"/>
              <w:bidi w:val="0"/>
              <w:spacing w:before="0" w:after="283"/>
              <w:jc w:val="right"/>
              <w:rPr>
                <w:color w:val="231F20"/>
              </w:rPr>
            </w:pPr>
            <w:r>
              <w:rPr>
                <w:color w:val="231F20"/>
              </w:rPr>
              <w:t>(174</w:t>
            </w:r>
          </w:p>
        </w:tc>
        <w:tc>
          <w:tcPr>
            <w:tcW w:w="95" w:type="dxa"/>
            <w:tcBorders/>
            <w:shd w:fill="FFFFFF" w:val="clear"/>
            <w:vAlign w:val="center"/>
          </w:tcPr>
          <w:p>
            <w:pPr>
              <w:pStyle w:val="TableContents"/>
              <w:bidi w:val="0"/>
              <w:spacing w:before="0" w:after="283"/>
              <w:jc w:val="left"/>
              <w:rPr>
                <w:color w:val="231F20"/>
              </w:rPr>
            </w:pPr>
            <w:r>
              <w:rPr>
                <w:color w:val="231F20"/>
              </w:rPr>
              <w:t>)</w:t>
            </w:r>
          </w:p>
        </w:tc>
        <w:tc>
          <w:tcPr>
            <w:tcW w:w="60" w:type="dxa"/>
            <w:tcBorders/>
            <w:shd w:fill="FFFFFF" w:val="clear"/>
            <w:vAlign w:val="center"/>
          </w:tcPr>
          <w:p>
            <w:pPr>
              <w:pStyle w:val="TableContents"/>
              <w:bidi w:val="0"/>
              <w:spacing w:before="0" w:after="283"/>
              <w:jc w:val="left"/>
              <w:rPr>
                <w:color w:val="231F20"/>
              </w:rPr>
            </w:pPr>
            <w:r>
              <w:rPr>
                <w:color w:val="231F20"/>
              </w:rPr>
              <w:t> </w:t>
            </w:r>
          </w:p>
        </w:tc>
        <w:tc>
          <w:tcPr>
            <w:tcW w:w="141" w:type="dxa"/>
            <w:tcBorders/>
            <w:shd w:fill="FFFFFF" w:val="clear"/>
            <w:vAlign w:val="center"/>
          </w:tcPr>
          <w:p>
            <w:pPr>
              <w:pStyle w:val="TableContents"/>
              <w:bidi w:val="0"/>
              <w:spacing w:before="0" w:after="283"/>
              <w:jc w:val="left"/>
              <w:rPr>
                <w:color w:val="231F20"/>
              </w:rPr>
            </w:pPr>
            <w:r>
              <w:rPr>
                <w:color w:val="231F20"/>
              </w:rPr>
              <w:t> </w:t>
            </w:r>
          </w:p>
        </w:tc>
        <w:tc>
          <w:tcPr>
            <w:tcW w:w="769" w:type="dxa"/>
            <w:tcBorders/>
            <w:shd w:fill="FFFFFF" w:val="clear"/>
            <w:vAlign w:val="center"/>
          </w:tcPr>
          <w:p>
            <w:pPr>
              <w:pStyle w:val="TableContents"/>
              <w:bidi w:val="0"/>
              <w:spacing w:before="0" w:after="283"/>
              <w:jc w:val="right"/>
              <w:rPr>
                <w:color w:val="231F20"/>
              </w:rPr>
            </w:pPr>
            <w:r>
              <w:rPr>
                <w:color w:val="231F20"/>
              </w:rPr>
              <w:t>96</w:t>
            </w:r>
          </w:p>
        </w:tc>
        <w:tc>
          <w:tcPr>
            <w:tcW w:w="114" w:type="dxa"/>
            <w:tcBorders/>
            <w:shd w:fill="FFFFFF" w:val="clear"/>
            <w:vAlign w:val="center"/>
          </w:tcPr>
          <w:p>
            <w:pPr>
              <w:pStyle w:val="TableContents"/>
              <w:bidi w:val="0"/>
              <w:spacing w:before="0" w:after="283"/>
              <w:ind w:left="0" w:right="0" w:hanging="144"/>
              <w:jc w:val="left"/>
              <w:rPr>
                <w:color w:val="231F20"/>
              </w:rPr>
            </w:pPr>
            <w:r>
              <w:rPr>
                <w:color w:val="231F20"/>
              </w:rPr>
              <w:t> </w:t>
            </w:r>
          </w:p>
        </w:tc>
      </w:tr>
      <w:tr>
        <w:trPr/>
        <w:tc>
          <w:tcPr>
            <w:tcW w:w="8056" w:type="dxa"/>
            <w:tcBorders/>
            <w:shd w:fill="CCEEFF" w:val="clear"/>
            <w:vAlign w:val="center"/>
          </w:tcPr>
          <w:p>
            <w:pPr>
              <w:pStyle w:val="TableContents"/>
              <w:bidi w:val="0"/>
              <w:spacing w:before="0" w:after="283"/>
              <w:jc w:val="left"/>
              <w:rPr>
                <w:color w:val="231F20"/>
                <w:sz w:val="20"/>
              </w:rPr>
            </w:pPr>
            <w:r>
              <w:rPr>
                <w:color w:val="231F20"/>
                <w:sz w:val="20"/>
              </w:rPr>
              <w:t>Change in fair value of liability classified conversion option derivatives</w:t>
            </w:r>
          </w:p>
        </w:tc>
        <w:tc>
          <w:tcPr>
            <w:tcW w:w="60" w:type="dxa"/>
            <w:tcBorders/>
            <w:shd w:fill="CCEEFF" w:val="clear"/>
            <w:vAlign w:val="center"/>
          </w:tcPr>
          <w:p>
            <w:pPr>
              <w:pStyle w:val="TableContents"/>
              <w:bidi w:val="0"/>
              <w:spacing w:before="0" w:after="283"/>
              <w:jc w:val="left"/>
              <w:rPr>
                <w:color w:val="231F20"/>
              </w:rPr>
            </w:pPr>
            <w:r>
              <w:rPr>
                <w:color w:val="231F20"/>
              </w:rPr>
              <w:t> </w:t>
            </w:r>
          </w:p>
        </w:tc>
        <w:tc>
          <w:tcPr>
            <w:tcW w:w="141" w:type="dxa"/>
            <w:tcBorders/>
            <w:shd w:fill="CCEEFF" w:val="clear"/>
            <w:vAlign w:val="center"/>
          </w:tcPr>
          <w:p>
            <w:pPr>
              <w:pStyle w:val="TableContents"/>
              <w:bidi w:val="0"/>
              <w:spacing w:before="0" w:after="283"/>
              <w:jc w:val="left"/>
              <w:rPr>
                <w:color w:val="231F20"/>
              </w:rPr>
            </w:pPr>
            <w:r>
              <w:rPr>
                <w:color w:val="231F20"/>
              </w:rPr>
              <w:t> </w:t>
            </w:r>
          </w:p>
        </w:tc>
        <w:tc>
          <w:tcPr>
            <w:tcW w:w="769" w:type="dxa"/>
            <w:tcBorders/>
            <w:shd w:fill="CCEEFF" w:val="clear"/>
            <w:vAlign w:val="center"/>
          </w:tcPr>
          <w:p>
            <w:pPr>
              <w:pStyle w:val="TableContents"/>
              <w:bidi w:val="0"/>
              <w:spacing w:before="0" w:after="283"/>
              <w:jc w:val="right"/>
              <w:rPr>
                <w:color w:val="231F20"/>
              </w:rPr>
            </w:pPr>
            <w:r>
              <w:rPr>
                <w:color w:val="231F20"/>
              </w:rPr>
              <w:t>(1,753</w:t>
            </w:r>
          </w:p>
        </w:tc>
        <w:tc>
          <w:tcPr>
            <w:tcW w:w="95" w:type="dxa"/>
            <w:tcBorders/>
            <w:shd w:fill="CCEEFF" w:val="clear"/>
            <w:vAlign w:val="center"/>
          </w:tcPr>
          <w:p>
            <w:pPr>
              <w:pStyle w:val="TableContents"/>
              <w:bidi w:val="0"/>
              <w:spacing w:before="0" w:after="283"/>
              <w:jc w:val="left"/>
              <w:rPr>
                <w:color w:val="231F20"/>
              </w:rPr>
            </w:pPr>
            <w:r>
              <w:rPr>
                <w:color w:val="231F20"/>
              </w:rPr>
              <w:t>)</w:t>
            </w:r>
          </w:p>
        </w:tc>
        <w:tc>
          <w:tcPr>
            <w:tcW w:w="60" w:type="dxa"/>
            <w:tcBorders/>
            <w:shd w:fill="CCEEFF" w:val="clear"/>
            <w:vAlign w:val="center"/>
          </w:tcPr>
          <w:p>
            <w:pPr>
              <w:pStyle w:val="TableContents"/>
              <w:bidi w:val="0"/>
              <w:spacing w:before="0" w:after="283"/>
              <w:jc w:val="left"/>
              <w:rPr>
                <w:color w:val="231F20"/>
              </w:rPr>
            </w:pPr>
            <w:r>
              <w:rPr>
                <w:color w:val="231F20"/>
              </w:rPr>
              <w:t> </w:t>
            </w:r>
          </w:p>
        </w:tc>
        <w:tc>
          <w:tcPr>
            <w:tcW w:w="141" w:type="dxa"/>
            <w:tcBorders/>
            <w:shd w:fill="CCEEFF" w:val="clear"/>
            <w:vAlign w:val="center"/>
          </w:tcPr>
          <w:p>
            <w:pPr>
              <w:pStyle w:val="TableContents"/>
              <w:bidi w:val="0"/>
              <w:spacing w:before="0" w:after="283"/>
              <w:jc w:val="left"/>
              <w:rPr>
                <w:color w:val="231F20"/>
              </w:rPr>
            </w:pPr>
            <w:r>
              <w:rPr>
                <w:color w:val="231F20"/>
              </w:rPr>
              <w:t> </w:t>
            </w:r>
          </w:p>
        </w:tc>
        <w:tc>
          <w:tcPr>
            <w:tcW w:w="769" w:type="dxa"/>
            <w:tcBorders/>
            <w:shd w:fill="CCEEFF" w:val="clear"/>
            <w:vAlign w:val="center"/>
          </w:tcPr>
          <w:p>
            <w:pPr>
              <w:pStyle w:val="TableContents"/>
              <w:bidi w:val="0"/>
              <w:spacing w:before="0" w:after="283"/>
              <w:jc w:val="right"/>
              <w:rPr>
                <w:color w:val="231F20"/>
              </w:rPr>
            </w:pPr>
            <w:r>
              <w:rPr>
                <w:color w:val="231F20"/>
              </w:rPr>
              <w:t>7,296</w:t>
            </w:r>
          </w:p>
        </w:tc>
        <w:tc>
          <w:tcPr>
            <w:tcW w:w="114" w:type="dxa"/>
            <w:tcBorders/>
            <w:shd w:fill="CCEEFF" w:val="clear"/>
            <w:vAlign w:val="center"/>
          </w:tcPr>
          <w:p>
            <w:pPr>
              <w:pStyle w:val="TableContents"/>
              <w:bidi w:val="0"/>
              <w:spacing w:before="0" w:after="283"/>
              <w:ind w:left="0" w:right="0" w:hanging="144"/>
              <w:jc w:val="left"/>
              <w:rPr>
                <w:color w:val="231F20"/>
              </w:rPr>
            </w:pPr>
            <w:r>
              <w:rPr>
                <w:color w:val="231F20"/>
              </w:rPr>
              <w:t> </w:t>
            </w:r>
          </w:p>
        </w:tc>
      </w:tr>
      <w:tr>
        <w:trPr/>
        <w:tc>
          <w:tcPr>
            <w:tcW w:w="8056" w:type="dxa"/>
            <w:tcBorders/>
            <w:shd w:fill="FFFFFF" w:val="clear"/>
            <w:vAlign w:val="center"/>
          </w:tcPr>
          <w:p>
            <w:pPr>
              <w:pStyle w:val="TableContents"/>
              <w:bidi w:val="0"/>
              <w:spacing w:before="0" w:after="283"/>
              <w:jc w:val="left"/>
              <w:rPr>
                <w:color w:val="231F20"/>
                <w:sz w:val="20"/>
              </w:rPr>
            </w:pPr>
            <w:r>
              <w:rPr>
                <w:color w:val="231F20"/>
                <w:sz w:val="20"/>
              </w:rPr>
              <w:t>Deferred taxes</w:t>
            </w:r>
          </w:p>
        </w:tc>
        <w:tc>
          <w:tcPr>
            <w:tcW w:w="60" w:type="dxa"/>
            <w:tcBorders/>
            <w:shd w:fill="FFFFFF" w:val="clear"/>
            <w:vAlign w:val="center"/>
          </w:tcPr>
          <w:p>
            <w:pPr>
              <w:pStyle w:val="TableContents"/>
              <w:bidi w:val="0"/>
              <w:spacing w:before="0" w:after="283"/>
              <w:jc w:val="left"/>
              <w:rPr>
                <w:color w:val="231F20"/>
              </w:rPr>
            </w:pPr>
            <w:r>
              <w:rPr>
                <w:color w:val="231F20"/>
              </w:rPr>
              <w:t> </w:t>
            </w:r>
          </w:p>
        </w:tc>
        <w:tc>
          <w:tcPr>
            <w:tcW w:w="141" w:type="dxa"/>
            <w:tcBorders/>
            <w:shd w:fill="FFFFFF" w:val="clear"/>
            <w:vAlign w:val="center"/>
          </w:tcPr>
          <w:p>
            <w:pPr>
              <w:pStyle w:val="TableContents"/>
              <w:bidi w:val="0"/>
              <w:spacing w:before="0" w:after="283"/>
              <w:jc w:val="left"/>
              <w:rPr>
                <w:color w:val="231F20"/>
              </w:rPr>
            </w:pPr>
            <w:r>
              <w:rPr>
                <w:color w:val="231F20"/>
              </w:rPr>
              <w:t> </w:t>
            </w:r>
          </w:p>
        </w:tc>
        <w:tc>
          <w:tcPr>
            <w:tcW w:w="769" w:type="dxa"/>
            <w:tcBorders/>
            <w:shd w:fill="FFFFFF" w:val="clear"/>
            <w:vAlign w:val="center"/>
          </w:tcPr>
          <w:p>
            <w:pPr>
              <w:pStyle w:val="TableContents"/>
              <w:bidi w:val="0"/>
              <w:spacing w:before="0" w:after="283"/>
              <w:jc w:val="right"/>
              <w:rPr>
                <w:color w:val="231F20"/>
              </w:rPr>
            </w:pPr>
            <w:r>
              <w:rPr>
                <w:color w:val="231F20"/>
              </w:rPr>
              <w:t>—</w:t>
            </w:r>
          </w:p>
        </w:tc>
        <w:tc>
          <w:tcPr>
            <w:tcW w:w="95" w:type="dxa"/>
            <w:tcBorders/>
            <w:shd w:fill="FFFFFF" w:val="clear"/>
            <w:vAlign w:val="center"/>
          </w:tcPr>
          <w:p>
            <w:pPr>
              <w:pStyle w:val="TableContents"/>
              <w:bidi w:val="0"/>
              <w:spacing w:before="0" w:after="283"/>
              <w:jc w:val="left"/>
              <w:rPr>
                <w:color w:val="231F20"/>
              </w:rPr>
            </w:pPr>
            <w:r>
              <w:rPr>
                <w:color w:val="231F20"/>
              </w:rPr>
              <w:t> </w:t>
            </w:r>
          </w:p>
        </w:tc>
        <w:tc>
          <w:tcPr>
            <w:tcW w:w="60" w:type="dxa"/>
            <w:tcBorders/>
            <w:shd w:fill="FFFFFF" w:val="clear"/>
            <w:vAlign w:val="center"/>
          </w:tcPr>
          <w:p>
            <w:pPr>
              <w:pStyle w:val="TableContents"/>
              <w:bidi w:val="0"/>
              <w:spacing w:before="0" w:after="283"/>
              <w:jc w:val="left"/>
              <w:rPr>
                <w:color w:val="231F20"/>
              </w:rPr>
            </w:pPr>
            <w:r>
              <w:rPr>
                <w:color w:val="231F20"/>
              </w:rPr>
              <w:t> </w:t>
            </w:r>
          </w:p>
        </w:tc>
        <w:tc>
          <w:tcPr>
            <w:tcW w:w="141" w:type="dxa"/>
            <w:tcBorders/>
            <w:shd w:fill="FFFFFF" w:val="clear"/>
            <w:vAlign w:val="center"/>
          </w:tcPr>
          <w:p>
            <w:pPr>
              <w:pStyle w:val="TableContents"/>
              <w:bidi w:val="0"/>
              <w:spacing w:before="0" w:after="283"/>
              <w:jc w:val="left"/>
              <w:rPr>
                <w:color w:val="231F20"/>
              </w:rPr>
            </w:pPr>
            <w:r>
              <w:rPr>
                <w:color w:val="231F20"/>
              </w:rPr>
              <w:t> </w:t>
            </w:r>
          </w:p>
        </w:tc>
        <w:tc>
          <w:tcPr>
            <w:tcW w:w="769" w:type="dxa"/>
            <w:tcBorders/>
            <w:shd w:fill="FFFFFF" w:val="clear"/>
            <w:vAlign w:val="center"/>
          </w:tcPr>
          <w:p>
            <w:pPr>
              <w:pStyle w:val="TableContents"/>
              <w:bidi w:val="0"/>
              <w:spacing w:before="0" w:after="283"/>
              <w:jc w:val="right"/>
              <w:rPr>
                <w:color w:val="231F20"/>
              </w:rPr>
            </w:pPr>
            <w:r>
              <w:rPr>
                <w:color w:val="231F20"/>
              </w:rPr>
              <w:t>(32</w:t>
            </w:r>
          </w:p>
        </w:tc>
        <w:tc>
          <w:tcPr>
            <w:tcW w:w="114" w:type="dxa"/>
            <w:tcBorders/>
            <w:shd w:fill="FFFFFF" w:val="clear"/>
            <w:vAlign w:val="center"/>
          </w:tcPr>
          <w:p>
            <w:pPr>
              <w:pStyle w:val="TableContents"/>
              <w:bidi w:val="0"/>
              <w:spacing w:before="0" w:after="283"/>
              <w:ind w:left="0" w:right="0" w:hanging="144"/>
              <w:jc w:val="left"/>
              <w:rPr>
                <w:color w:val="231F20"/>
              </w:rPr>
            </w:pPr>
            <w:r>
              <w:rPr>
                <w:color w:val="231F20"/>
              </w:rPr>
              <w:t>)</w:t>
            </w:r>
          </w:p>
        </w:tc>
      </w:tr>
      <w:tr>
        <w:trPr/>
        <w:tc>
          <w:tcPr>
            <w:tcW w:w="8056" w:type="dxa"/>
            <w:tcBorders/>
            <w:shd w:fill="CCEEFF" w:val="clear"/>
            <w:vAlign w:val="center"/>
          </w:tcPr>
          <w:p>
            <w:pPr>
              <w:pStyle w:val="TableContents"/>
              <w:bidi w:val="0"/>
              <w:spacing w:before="0" w:after="283"/>
              <w:jc w:val="left"/>
              <w:rPr>
                <w:color w:val="231F20"/>
                <w:sz w:val="20"/>
              </w:rPr>
            </w:pPr>
            <w:r>
              <w:rPr>
                <w:color w:val="231F20"/>
                <w:sz w:val="20"/>
              </w:rPr>
              <w:t>Loss on disposal of property and equipment</w:t>
            </w:r>
          </w:p>
        </w:tc>
        <w:tc>
          <w:tcPr>
            <w:tcW w:w="60" w:type="dxa"/>
            <w:tcBorders/>
            <w:shd w:fill="CCEEFF" w:val="clear"/>
            <w:vAlign w:val="center"/>
          </w:tcPr>
          <w:p>
            <w:pPr>
              <w:pStyle w:val="TableContents"/>
              <w:bidi w:val="0"/>
              <w:spacing w:before="0" w:after="283"/>
              <w:jc w:val="left"/>
              <w:rPr>
                <w:color w:val="231F20"/>
              </w:rPr>
            </w:pPr>
            <w:r>
              <w:rPr>
                <w:color w:val="231F20"/>
              </w:rPr>
              <w:t> </w:t>
            </w:r>
          </w:p>
        </w:tc>
        <w:tc>
          <w:tcPr>
            <w:tcW w:w="141" w:type="dxa"/>
            <w:tcBorders/>
            <w:shd w:fill="CCEEFF" w:val="clear"/>
            <w:vAlign w:val="center"/>
          </w:tcPr>
          <w:p>
            <w:pPr>
              <w:pStyle w:val="TableContents"/>
              <w:bidi w:val="0"/>
              <w:spacing w:before="0" w:after="283"/>
              <w:jc w:val="left"/>
              <w:rPr>
                <w:color w:val="231F20"/>
              </w:rPr>
            </w:pPr>
            <w:r>
              <w:rPr>
                <w:color w:val="231F20"/>
              </w:rPr>
              <w:t> </w:t>
            </w:r>
          </w:p>
        </w:tc>
        <w:tc>
          <w:tcPr>
            <w:tcW w:w="769" w:type="dxa"/>
            <w:tcBorders/>
            <w:shd w:fill="CCEEFF" w:val="clear"/>
            <w:vAlign w:val="center"/>
          </w:tcPr>
          <w:p>
            <w:pPr>
              <w:pStyle w:val="TableContents"/>
              <w:bidi w:val="0"/>
              <w:spacing w:before="0" w:after="283"/>
              <w:jc w:val="right"/>
              <w:rPr>
                <w:color w:val="231F20"/>
              </w:rPr>
            </w:pPr>
            <w:r>
              <w:rPr>
                <w:color w:val="231F20"/>
              </w:rPr>
              <w:t>28</w:t>
            </w:r>
          </w:p>
        </w:tc>
        <w:tc>
          <w:tcPr>
            <w:tcW w:w="95" w:type="dxa"/>
            <w:tcBorders/>
            <w:shd w:fill="CCEEFF" w:val="clear"/>
            <w:vAlign w:val="center"/>
          </w:tcPr>
          <w:p>
            <w:pPr>
              <w:pStyle w:val="TableContents"/>
              <w:bidi w:val="0"/>
              <w:spacing w:before="0" w:after="283"/>
              <w:jc w:val="left"/>
              <w:rPr>
                <w:color w:val="231F20"/>
              </w:rPr>
            </w:pPr>
            <w:r>
              <w:rPr>
                <w:color w:val="231F20"/>
              </w:rPr>
              <w:t> </w:t>
            </w:r>
          </w:p>
        </w:tc>
        <w:tc>
          <w:tcPr>
            <w:tcW w:w="60" w:type="dxa"/>
            <w:tcBorders/>
            <w:shd w:fill="CCEEFF" w:val="clear"/>
            <w:vAlign w:val="center"/>
          </w:tcPr>
          <w:p>
            <w:pPr>
              <w:pStyle w:val="TableContents"/>
              <w:bidi w:val="0"/>
              <w:spacing w:before="0" w:after="283"/>
              <w:jc w:val="left"/>
              <w:rPr>
                <w:color w:val="231F20"/>
              </w:rPr>
            </w:pPr>
            <w:r>
              <w:rPr>
                <w:color w:val="231F20"/>
              </w:rPr>
              <w:t> </w:t>
            </w:r>
          </w:p>
        </w:tc>
        <w:tc>
          <w:tcPr>
            <w:tcW w:w="141" w:type="dxa"/>
            <w:tcBorders/>
            <w:shd w:fill="CCEEFF" w:val="clear"/>
            <w:vAlign w:val="center"/>
          </w:tcPr>
          <w:p>
            <w:pPr>
              <w:pStyle w:val="TableContents"/>
              <w:bidi w:val="0"/>
              <w:spacing w:before="0" w:after="283"/>
              <w:jc w:val="left"/>
              <w:rPr>
                <w:color w:val="231F20"/>
              </w:rPr>
            </w:pPr>
            <w:r>
              <w:rPr>
                <w:color w:val="231F20"/>
              </w:rPr>
              <w:t> </w:t>
            </w:r>
          </w:p>
        </w:tc>
        <w:tc>
          <w:tcPr>
            <w:tcW w:w="769" w:type="dxa"/>
            <w:tcBorders/>
            <w:shd w:fill="CCEEFF" w:val="clear"/>
            <w:vAlign w:val="center"/>
          </w:tcPr>
          <w:p>
            <w:pPr>
              <w:pStyle w:val="TableContents"/>
              <w:bidi w:val="0"/>
              <w:spacing w:before="0" w:after="283"/>
              <w:jc w:val="right"/>
              <w:rPr>
                <w:color w:val="231F20"/>
              </w:rPr>
            </w:pPr>
            <w:r>
              <w:rPr>
                <w:color w:val="231F20"/>
              </w:rPr>
              <w:t>—</w:t>
            </w:r>
          </w:p>
        </w:tc>
        <w:tc>
          <w:tcPr>
            <w:tcW w:w="114" w:type="dxa"/>
            <w:tcBorders/>
            <w:shd w:fill="CCEEFF" w:val="clear"/>
            <w:vAlign w:val="center"/>
          </w:tcPr>
          <w:p>
            <w:pPr>
              <w:pStyle w:val="TableContents"/>
              <w:bidi w:val="0"/>
              <w:spacing w:before="0" w:after="283"/>
              <w:ind w:left="0" w:right="0" w:hanging="144"/>
              <w:jc w:val="left"/>
              <w:rPr>
                <w:color w:val="231F20"/>
              </w:rPr>
            </w:pPr>
            <w:r>
              <w:rPr>
                <w:color w:val="231F20"/>
              </w:rPr>
              <w:t> </w:t>
            </w:r>
          </w:p>
        </w:tc>
      </w:tr>
      <w:tr>
        <w:trPr/>
        <w:tc>
          <w:tcPr>
            <w:tcW w:w="8056" w:type="dxa"/>
            <w:tcBorders/>
            <w:shd w:fill="FFFFFF" w:val="clear"/>
            <w:vAlign w:val="center"/>
          </w:tcPr>
          <w:p>
            <w:pPr>
              <w:pStyle w:val="TableContents"/>
              <w:bidi w:val="0"/>
              <w:spacing w:before="0" w:after="283"/>
              <w:jc w:val="left"/>
              <w:rPr>
                <w:color w:val="231F20"/>
                <w:sz w:val="20"/>
              </w:rPr>
            </w:pPr>
            <w:r>
              <w:rPr>
                <w:color w:val="231F20"/>
                <w:sz w:val="20"/>
              </w:rPr>
              <w:t>Changes in operating assets and liabilities:</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769"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769" w:type="dxa"/>
            <w:tcBorders/>
            <w:shd w:fill="FFFFFF" w:val="clear"/>
            <w:vAlign w:val="center"/>
          </w:tcPr>
          <w:p>
            <w:pPr>
              <w:pStyle w:val="TableContents"/>
              <w:bidi w:val="0"/>
              <w:spacing w:before="0" w:after="283"/>
              <w:jc w:val="right"/>
              <w:rPr/>
            </w:pPr>
            <w:r>
              <w:rPr/>
              <w:t> </w:t>
            </w:r>
          </w:p>
        </w:tc>
        <w:tc>
          <w:tcPr>
            <w:tcW w:w="114" w:type="dxa"/>
            <w:tcBorders/>
            <w:shd w:fill="FFFFFF" w:val="clear"/>
            <w:vAlign w:val="center"/>
          </w:tcPr>
          <w:p>
            <w:pPr>
              <w:pStyle w:val="TableContents"/>
              <w:bidi w:val="0"/>
              <w:spacing w:before="0" w:after="283"/>
              <w:ind w:left="0" w:right="0" w:hanging="144"/>
              <w:jc w:val="left"/>
              <w:rPr/>
            </w:pPr>
            <w:r>
              <w:rPr/>
              <w:t> </w:t>
            </w:r>
          </w:p>
        </w:tc>
      </w:tr>
      <w:tr>
        <w:trPr/>
        <w:tc>
          <w:tcPr>
            <w:tcW w:w="8056" w:type="dxa"/>
            <w:tcBorders/>
            <w:shd w:fill="CCEEFF" w:val="clear"/>
            <w:vAlign w:val="center"/>
          </w:tcPr>
          <w:p>
            <w:pPr>
              <w:pStyle w:val="TableContents"/>
              <w:bidi w:val="0"/>
              <w:spacing w:before="0" w:after="283"/>
              <w:jc w:val="left"/>
              <w:rPr>
                <w:color w:val="231F20"/>
                <w:sz w:val="20"/>
              </w:rPr>
            </w:pPr>
            <w:r>
              <w:rPr>
                <w:color w:val="231F20"/>
                <w:sz w:val="20"/>
              </w:rPr>
              <w:t>Accounts receivable</w:t>
            </w:r>
          </w:p>
        </w:tc>
        <w:tc>
          <w:tcPr>
            <w:tcW w:w="60" w:type="dxa"/>
            <w:tcBorders/>
            <w:shd w:fill="CCEEFF" w:val="clear"/>
            <w:vAlign w:val="center"/>
          </w:tcPr>
          <w:p>
            <w:pPr>
              <w:pStyle w:val="TableContents"/>
              <w:bidi w:val="0"/>
              <w:spacing w:before="0" w:after="283"/>
              <w:jc w:val="left"/>
              <w:rPr>
                <w:color w:val="231F20"/>
              </w:rPr>
            </w:pPr>
            <w:r>
              <w:rPr>
                <w:color w:val="231F20"/>
              </w:rPr>
              <w:t> </w:t>
            </w:r>
          </w:p>
        </w:tc>
        <w:tc>
          <w:tcPr>
            <w:tcW w:w="141" w:type="dxa"/>
            <w:tcBorders/>
            <w:shd w:fill="CCEEFF" w:val="clear"/>
            <w:vAlign w:val="center"/>
          </w:tcPr>
          <w:p>
            <w:pPr>
              <w:pStyle w:val="TableContents"/>
              <w:bidi w:val="0"/>
              <w:spacing w:before="0" w:after="283"/>
              <w:jc w:val="left"/>
              <w:rPr>
                <w:color w:val="231F20"/>
              </w:rPr>
            </w:pPr>
            <w:r>
              <w:rPr>
                <w:color w:val="231F20"/>
              </w:rPr>
              <w:t> </w:t>
            </w:r>
          </w:p>
        </w:tc>
        <w:tc>
          <w:tcPr>
            <w:tcW w:w="769" w:type="dxa"/>
            <w:tcBorders/>
            <w:shd w:fill="CCEEFF" w:val="clear"/>
            <w:vAlign w:val="center"/>
          </w:tcPr>
          <w:p>
            <w:pPr>
              <w:pStyle w:val="TableContents"/>
              <w:bidi w:val="0"/>
              <w:spacing w:before="0" w:after="283"/>
              <w:jc w:val="right"/>
              <w:rPr>
                <w:color w:val="231F20"/>
              </w:rPr>
            </w:pPr>
            <w:r>
              <w:rPr>
                <w:color w:val="231F20"/>
              </w:rPr>
              <w:t>(7,351</w:t>
            </w:r>
          </w:p>
        </w:tc>
        <w:tc>
          <w:tcPr>
            <w:tcW w:w="95" w:type="dxa"/>
            <w:tcBorders/>
            <w:shd w:fill="CCEEFF" w:val="clear"/>
            <w:vAlign w:val="center"/>
          </w:tcPr>
          <w:p>
            <w:pPr>
              <w:pStyle w:val="TableContents"/>
              <w:bidi w:val="0"/>
              <w:spacing w:before="0" w:after="283"/>
              <w:jc w:val="left"/>
              <w:rPr>
                <w:color w:val="231F20"/>
              </w:rPr>
            </w:pPr>
            <w:r>
              <w:rPr>
                <w:color w:val="231F20"/>
              </w:rPr>
              <w:t>)</w:t>
            </w:r>
          </w:p>
        </w:tc>
        <w:tc>
          <w:tcPr>
            <w:tcW w:w="60" w:type="dxa"/>
            <w:tcBorders/>
            <w:shd w:fill="CCEEFF" w:val="clear"/>
            <w:vAlign w:val="center"/>
          </w:tcPr>
          <w:p>
            <w:pPr>
              <w:pStyle w:val="TableContents"/>
              <w:bidi w:val="0"/>
              <w:spacing w:before="0" w:after="283"/>
              <w:jc w:val="left"/>
              <w:rPr>
                <w:color w:val="231F20"/>
              </w:rPr>
            </w:pPr>
            <w:r>
              <w:rPr>
                <w:color w:val="231F20"/>
              </w:rPr>
              <w:t> </w:t>
            </w:r>
          </w:p>
        </w:tc>
        <w:tc>
          <w:tcPr>
            <w:tcW w:w="141" w:type="dxa"/>
            <w:tcBorders/>
            <w:shd w:fill="CCEEFF" w:val="clear"/>
            <w:vAlign w:val="center"/>
          </w:tcPr>
          <w:p>
            <w:pPr>
              <w:pStyle w:val="TableContents"/>
              <w:bidi w:val="0"/>
              <w:spacing w:before="0" w:after="283"/>
              <w:jc w:val="left"/>
              <w:rPr>
                <w:color w:val="231F20"/>
              </w:rPr>
            </w:pPr>
            <w:r>
              <w:rPr>
                <w:color w:val="231F20"/>
              </w:rPr>
              <w:t> </w:t>
            </w:r>
          </w:p>
        </w:tc>
        <w:tc>
          <w:tcPr>
            <w:tcW w:w="769" w:type="dxa"/>
            <w:tcBorders/>
            <w:shd w:fill="CCEEFF" w:val="clear"/>
            <w:vAlign w:val="center"/>
          </w:tcPr>
          <w:p>
            <w:pPr>
              <w:pStyle w:val="TableContents"/>
              <w:bidi w:val="0"/>
              <w:spacing w:before="0" w:after="283"/>
              <w:jc w:val="right"/>
              <w:rPr>
                <w:color w:val="231F20"/>
              </w:rPr>
            </w:pPr>
            <w:r>
              <w:rPr>
                <w:color w:val="231F20"/>
              </w:rPr>
              <w:t>(8,969</w:t>
            </w:r>
          </w:p>
        </w:tc>
        <w:tc>
          <w:tcPr>
            <w:tcW w:w="114" w:type="dxa"/>
            <w:tcBorders/>
            <w:shd w:fill="CCEEFF" w:val="clear"/>
            <w:vAlign w:val="center"/>
          </w:tcPr>
          <w:p>
            <w:pPr>
              <w:pStyle w:val="TableContents"/>
              <w:bidi w:val="0"/>
              <w:spacing w:before="0" w:after="283"/>
              <w:ind w:left="0" w:right="0" w:hanging="144"/>
              <w:jc w:val="left"/>
              <w:rPr>
                <w:color w:val="231F20"/>
              </w:rPr>
            </w:pPr>
            <w:r>
              <w:rPr>
                <w:color w:val="231F20"/>
              </w:rPr>
              <w:t>)</w:t>
            </w:r>
          </w:p>
        </w:tc>
      </w:tr>
      <w:tr>
        <w:trPr/>
        <w:tc>
          <w:tcPr>
            <w:tcW w:w="8056" w:type="dxa"/>
            <w:tcBorders/>
            <w:shd w:fill="FFFFFF" w:val="clear"/>
            <w:vAlign w:val="center"/>
          </w:tcPr>
          <w:p>
            <w:pPr>
              <w:pStyle w:val="TableContents"/>
              <w:bidi w:val="0"/>
              <w:spacing w:before="0" w:after="283"/>
              <w:jc w:val="left"/>
              <w:rPr>
                <w:color w:val="231F20"/>
                <w:sz w:val="20"/>
              </w:rPr>
            </w:pPr>
            <w:r>
              <w:rPr>
                <w:color w:val="231F20"/>
                <w:sz w:val="20"/>
              </w:rPr>
              <w:t>Other receivables</w:t>
            </w:r>
          </w:p>
        </w:tc>
        <w:tc>
          <w:tcPr>
            <w:tcW w:w="60" w:type="dxa"/>
            <w:tcBorders/>
            <w:shd w:fill="FFFFFF" w:val="clear"/>
            <w:vAlign w:val="center"/>
          </w:tcPr>
          <w:p>
            <w:pPr>
              <w:pStyle w:val="TableContents"/>
              <w:bidi w:val="0"/>
              <w:spacing w:before="0" w:after="283"/>
              <w:jc w:val="left"/>
              <w:rPr>
                <w:color w:val="231F20"/>
              </w:rPr>
            </w:pPr>
            <w:r>
              <w:rPr>
                <w:color w:val="231F20"/>
              </w:rPr>
              <w:t> </w:t>
            </w:r>
          </w:p>
        </w:tc>
        <w:tc>
          <w:tcPr>
            <w:tcW w:w="141" w:type="dxa"/>
            <w:tcBorders/>
            <w:shd w:fill="FFFFFF" w:val="clear"/>
            <w:vAlign w:val="center"/>
          </w:tcPr>
          <w:p>
            <w:pPr>
              <w:pStyle w:val="TableContents"/>
              <w:bidi w:val="0"/>
              <w:spacing w:before="0" w:after="283"/>
              <w:jc w:val="left"/>
              <w:rPr>
                <w:color w:val="231F20"/>
              </w:rPr>
            </w:pPr>
            <w:r>
              <w:rPr>
                <w:color w:val="231F20"/>
              </w:rPr>
              <w:t> </w:t>
            </w:r>
          </w:p>
        </w:tc>
        <w:tc>
          <w:tcPr>
            <w:tcW w:w="769" w:type="dxa"/>
            <w:tcBorders/>
            <w:shd w:fill="FFFFFF" w:val="clear"/>
            <w:vAlign w:val="center"/>
          </w:tcPr>
          <w:p>
            <w:pPr>
              <w:pStyle w:val="TableContents"/>
              <w:bidi w:val="0"/>
              <w:spacing w:before="0" w:after="283"/>
              <w:jc w:val="right"/>
              <w:rPr>
                <w:color w:val="231F20"/>
              </w:rPr>
            </w:pPr>
            <w:r>
              <w:rPr>
                <w:color w:val="231F20"/>
              </w:rPr>
              <w:t>(38</w:t>
            </w:r>
          </w:p>
        </w:tc>
        <w:tc>
          <w:tcPr>
            <w:tcW w:w="95" w:type="dxa"/>
            <w:tcBorders/>
            <w:shd w:fill="FFFFFF" w:val="clear"/>
            <w:vAlign w:val="center"/>
          </w:tcPr>
          <w:p>
            <w:pPr>
              <w:pStyle w:val="TableContents"/>
              <w:bidi w:val="0"/>
              <w:spacing w:before="0" w:after="283"/>
              <w:jc w:val="left"/>
              <w:rPr>
                <w:color w:val="231F20"/>
              </w:rPr>
            </w:pPr>
            <w:r>
              <w:rPr>
                <w:color w:val="231F20"/>
              </w:rPr>
              <w:t>)</w:t>
            </w:r>
          </w:p>
        </w:tc>
        <w:tc>
          <w:tcPr>
            <w:tcW w:w="60" w:type="dxa"/>
            <w:tcBorders/>
            <w:shd w:fill="FFFFFF" w:val="clear"/>
            <w:vAlign w:val="center"/>
          </w:tcPr>
          <w:p>
            <w:pPr>
              <w:pStyle w:val="TableContents"/>
              <w:bidi w:val="0"/>
              <w:spacing w:before="0" w:after="283"/>
              <w:jc w:val="left"/>
              <w:rPr>
                <w:color w:val="231F20"/>
              </w:rPr>
            </w:pPr>
            <w:r>
              <w:rPr>
                <w:color w:val="231F20"/>
              </w:rPr>
              <w:t> </w:t>
            </w:r>
          </w:p>
        </w:tc>
        <w:tc>
          <w:tcPr>
            <w:tcW w:w="141" w:type="dxa"/>
            <w:tcBorders/>
            <w:shd w:fill="FFFFFF" w:val="clear"/>
            <w:vAlign w:val="center"/>
          </w:tcPr>
          <w:p>
            <w:pPr>
              <w:pStyle w:val="TableContents"/>
              <w:bidi w:val="0"/>
              <w:spacing w:before="0" w:after="283"/>
              <w:jc w:val="left"/>
              <w:rPr>
                <w:color w:val="231F20"/>
              </w:rPr>
            </w:pPr>
            <w:r>
              <w:rPr>
                <w:color w:val="231F20"/>
              </w:rPr>
              <w:t> </w:t>
            </w:r>
          </w:p>
        </w:tc>
        <w:tc>
          <w:tcPr>
            <w:tcW w:w="769" w:type="dxa"/>
            <w:tcBorders/>
            <w:shd w:fill="FFFFFF" w:val="clear"/>
            <w:vAlign w:val="center"/>
          </w:tcPr>
          <w:p>
            <w:pPr>
              <w:pStyle w:val="TableContents"/>
              <w:bidi w:val="0"/>
              <w:spacing w:before="0" w:after="283"/>
              <w:jc w:val="right"/>
              <w:rPr>
                <w:color w:val="231F20"/>
              </w:rPr>
            </w:pPr>
            <w:r>
              <w:rPr>
                <w:color w:val="231F20"/>
              </w:rPr>
              <w:t>(228</w:t>
            </w:r>
          </w:p>
        </w:tc>
        <w:tc>
          <w:tcPr>
            <w:tcW w:w="114" w:type="dxa"/>
            <w:tcBorders/>
            <w:shd w:fill="FFFFFF" w:val="clear"/>
            <w:vAlign w:val="center"/>
          </w:tcPr>
          <w:p>
            <w:pPr>
              <w:pStyle w:val="TableContents"/>
              <w:bidi w:val="0"/>
              <w:spacing w:before="0" w:after="283"/>
              <w:ind w:left="0" w:right="0" w:hanging="144"/>
              <w:jc w:val="left"/>
              <w:rPr>
                <w:color w:val="231F20"/>
              </w:rPr>
            </w:pPr>
            <w:r>
              <w:rPr>
                <w:color w:val="231F20"/>
              </w:rPr>
              <w:t>)</w:t>
            </w:r>
          </w:p>
        </w:tc>
      </w:tr>
      <w:tr>
        <w:trPr/>
        <w:tc>
          <w:tcPr>
            <w:tcW w:w="8056" w:type="dxa"/>
            <w:tcBorders/>
            <w:shd w:fill="CCEEFF" w:val="clear"/>
            <w:vAlign w:val="center"/>
          </w:tcPr>
          <w:p>
            <w:pPr>
              <w:pStyle w:val="TableContents"/>
              <w:bidi w:val="0"/>
              <w:spacing w:before="0" w:after="283"/>
              <w:jc w:val="left"/>
              <w:rPr>
                <w:color w:val="231F20"/>
                <w:sz w:val="20"/>
              </w:rPr>
            </w:pPr>
            <w:r>
              <w:rPr>
                <w:color w:val="231F20"/>
                <w:sz w:val="20"/>
              </w:rPr>
              <w:t>Inventories</w:t>
            </w:r>
          </w:p>
        </w:tc>
        <w:tc>
          <w:tcPr>
            <w:tcW w:w="60" w:type="dxa"/>
            <w:tcBorders/>
            <w:shd w:fill="CCEEFF" w:val="clear"/>
            <w:vAlign w:val="center"/>
          </w:tcPr>
          <w:p>
            <w:pPr>
              <w:pStyle w:val="TableContents"/>
              <w:bidi w:val="0"/>
              <w:spacing w:before="0" w:after="283"/>
              <w:jc w:val="left"/>
              <w:rPr>
                <w:color w:val="231F20"/>
              </w:rPr>
            </w:pPr>
            <w:r>
              <w:rPr>
                <w:color w:val="231F20"/>
              </w:rPr>
              <w:t> </w:t>
            </w:r>
          </w:p>
        </w:tc>
        <w:tc>
          <w:tcPr>
            <w:tcW w:w="141" w:type="dxa"/>
            <w:tcBorders/>
            <w:shd w:fill="CCEEFF" w:val="clear"/>
            <w:vAlign w:val="center"/>
          </w:tcPr>
          <w:p>
            <w:pPr>
              <w:pStyle w:val="TableContents"/>
              <w:bidi w:val="0"/>
              <w:spacing w:before="0" w:after="283"/>
              <w:jc w:val="left"/>
              <w:rPr>
                <w:color w:val="231F20"/>
              </w:rPr>
            </w:pPr>
            <w:r>
              <w:rPr>
                <w:color w:val="231F20"/>
              </w:rPr>
              <w:t> </w:t>
            </w:r>
          </w:p>
        </w:tc>
        <w:tc>
          <w:tcPr>
            <w:tcW w:w="769" w:type="dxa"/>
            <w:tcBorders/>
            <w:shd w:fill="CCEEFF" w:val="clear"/>
            <w:vAlign w:val="center"/>
          </w:tcPr>
          <w:p>
            <w:pPr>
              <w:pStyle w:val="TableContents"/>
              <w:bidi w:val="0"/>
              <w:spacing w:before="0" w:after="283"/>
              <w:jc w:val="right"/>
              <w:rPr>
                <w:color w:val="231F20"/>
              </w:rPr>
            </w:pPr>
            <w:r>
              <w:rPr>
                <w:color w:val="231F20"/>
              </w:rPr>
              <w:t>(3,136</w:t>
            </w:r>
          </w:p>
        </w:tc>
        <w:tc>
          <w:tcPr>
            <w:tcW w:w="95" w:type="dxa"/>
            <w:tcBorders/>
            <w:shd w:fill="CCEEFF" w:val="clear"/>
            <w:vAlign w:val="center"/>
          </w:tcPr>
          <w:p>
            <w:pPr>
              <w:pStyle w:val="TableContents"/>
              <w:bidi w:val="0"/>
              <w:spacing w:before="0" w:after="283"/>
              <w:jc w:val="left"/>
              <w:rPr>
                <w:color w:val="231F20"/>
              </w:rPr>
            </w:pPr>
            <w:r>
              <w:rPr>
                <w:color w:val="231F20"/>
              </w:rPr>
              <w:t>)</w:t>
            </w:r>
          </w:p>
        </w:tc>
        <w:tc>
          <w:tcPr>
            <w:tcW w:w="60" w:type="dxa"/>
            <w:tcBorders/>
            <w:shd w:fill="CCEEFF" w:val="clear"/>
            <w:vAlign w:val="center"/>
          </w:tcPr>
          <w:p>
            <w:pPr>
              <w:pStyle w:val="TableContents"/>
              <w:bidi w:val="0"/>
              <w:spacing w:before="0" w:after="283"/>
              <w:jc w:val="left"/>
              <w:rPr>
                <w:color w:val="231F20"/>
              </w:rPr>
            </w:pPr>
            <w:r>
              <w:rPr>
                <w:color w:val="231F20"/>
              </w:rPr>
              <w:t> </w:t>
            </w:r>
          </w:p>
        </w:tc>
        <w:tc>
          <w:tcPr>
            <w:tcW w:w="141" w:type="dxa"/>
            <w:tcBorders/>
            <w:shd w:fill="CCEEFF" w:val="clear"/>
            <w:vAlign w:val="center"/>
          </w:tcPr>
          <w:p>
            <w:pPr>
              <w:pStyle w:val="TableContents"/>
              <w:bidi w:val="0"/>
              <w:spacing w:before="0" w:after="283"/>
              <w:jc w:val="left"/>
              <w:rPr>
                <w:color w:val="231F20"/>
              </w:rPr>
            </w:pPr>
            <w:r>
              <w:rPr>
                <w:color w:val="231F20"/>
              </w:rPr>
              <w:t> </w:t>
            </w:r>
          </w:p>
        </w:tc>
        <w:tc>
          <w:tcPr>
            <w:tcW w:w="769" w:type="dxa"/>
            <w:tcBorders/>
            <w:shd w:fill="CCEEFF" w:val="clear"/>
            <w:vAlign w:val="center"/>
          </w:tcPr>
          <w:p>
            <w:pPr>
              <w:pStyle w:val="TableContents"/>
              <w:bidi w:val="0"/>
              <w:spacing w:before="0" w:after="283"/>
              <w:jc w:val="right"/>
              <w:rPr>
                <w:color w:val="231F20"/>
              </w:rPr>
            </w:pPr>
            <w:r>
              <w:rPr>
                <w:color w:val="231F20"/>
              </w:rPr>
              <w:t>(5,747</w:t>
            </w:r>
          </w:p>
        </w:tc>
        <w:tc>
          <w:tcPr>
            <w:tcW w:w="114" w:type="dxa"/>
            <w:tcBorders/>
            <w:shd w:fill="CCEEFF" w:val="clear"/>
            <w:vAlign w:val="center"/>
          </w:tcPr>
          <w:p>
            <w:pPr>
              <w:pStyle w:val="TableContents"/>
              <w:bidi w:val="0"/>
              <w:spacing w:before="0" w:after="283"/>
              <w:ind w:left="0" w:right="0" w:hanging="144"/>
              <w:jc w:val="left"/>
              <w:rPr>
                <w:color w:val="231F20"/>
              </w:rPr>
            </w:pPr>
            <w:r>
              <w:rPr>
                <w:color w:val="231F20"/>
              </w:rPr>
              <w:t>)</w:t>
            </w:r>
          </w:p>
        </w:tc>
      </w:tr>
      <w:tr>
        <w:trPr/>
        <w:tc>
          <w:tcPr>
            <w:tcW w:w="8056" w:type="dxa"/>
            <w:tcBorders/>
            <w:shd w:fill="FFFFFF" w:val="clear"/>
            <w:vAlign w:val="center"/>
          </w:tcPr>
          <w:p>
            <w:pPr>
              <w:pStyle w:val="TableContents"/>
              <w:bidi w:val="0"/>
              <w:spacing w:before="0" w:after="283"/>
              <w:jc w:val="left"/>
              <w:rPr>
                <w:color w:val="231F20"/>
                <w:sz w:val="20"/>
              </w:rPr>
            </w:pPr>
            <w:r>
              <w:rPr>
                <w:color w:val="231F20"/>
                <w:sz w:val="20"/>
              </w:rPr>
              <w:t>Prepaid expenses</w:t>
            </w:r>
          </w:p>
        </w:tc>
        <w:tc>
          <w:tcPr>
            <w:tcW w:w="60" w:type="dxa"/>
            <w:tcBorders/>
            <w:shd w:fill="FFFFFF" w:val="clear"/>
            <w:vAlign w:val="center"/>
          </w:tcPr>
          <w:p>
            <w:pPr>
              <w:pStyle w:val="TableContents"/>
              <w:bidi w:val="0"/>
              <w:spacing w:before="0" w:after="283"/>
              <w:jc w:val="left"/>
              <w:rPr>
                <w:color w:val="231F20"/>
              </w:rPr>
            </w:pPr>
            <w:r>
              <w:rPr>
                <w:color w:val="231F20"/>
              </w:rPr>
              <w:t> </w:t>
            </w:r>
          </w:p>
        </w:tc>
        <w:tc>
          <w:tcPr>
            <w:tcW w:w="141" w:type="dxa"/>
            <w:tcBorders/>
            <w:shd w:fill="FFFFFF" w:val="clear"/>
            <w:vAlign w:val="center"/>
          </w:tcPr>
          <w:p>
            <w:pPr>
              <w:pStyle w:val="TableContents"/>
              <w:bidi w:val="0"/>
              <w:spacing w:before="0" w:after="283"/>
              <w:jc w:val="left"/>
              <w:rPr>
                <w:color w:val="231F20"/>
              </w:rPr>
            </w:pPr>
            <w:r>
              <w:rPr>
                <w:color w:val="231F20"/>
              </w:rPr>
              <w:t> </w:t>
            </w:r>
          </w:p>
        </w:tc>
        <w:tc>
          <w:tcPr>
            <w:tcW w:w="769" w:type="dxa"/>
            <w:tcBorders/>
            <w:shd w:fill="FFFFFF" w:val="clear"/>
            <w:vAlign w:val="center"/>
          </w:tcPr>
          <w:p>
            <w:pPr>
              <w:pStyle w:val="TableContents"/>
              <w:bidi w:val="0"/>
              <w:spacing w:before="0" w:after="283"/>
              <w:jc w:val="right"/>
              <w:rPr>
                <w:color w:val="231F20"/>
              </w:rPr>
            </w:pPr>
            <w:r>
              <w:rPr>
                <w:color w:val="231F20"/>
              </w:rPr>
              <w:t>1,811</w:t>
            </w:r>
          </w:p>
        </w:tc>
        <w:tc>
          <w:tcPr>
            <w:tcW w:w="95" w:type="dxa"/>
            <w:tcBorders/>
            <w:shd w:fill="FFFFFF" w:val="clear"/>
            <w:vAlign w:val="center"/>
          </w:tcPr>
          <w:p>
            <w:pPr>
              <w:pStyle w:val="TableContents"/>
              <w:bidi w:val="0"/>
              <w:spacing w:before="0" w:after="283"/>
              <w:jc w:val="left"/>
              <w:rPr>
                <w:color w:val="231F20"/>
              </w:rPr>
            </w:pPr>
            <w:r>
              <w:rPr>
                <w:color w:val="231F20"/>
              </w:rPr>
              <w:t> </w:t>
            </w:r>
          </w:p>
        </w:tc>
        <w:tc>
          <w:tcPr>
            <w:tcW w:w="60" w:type="dxa"/>
            <w:tcBorders/>
            <w:shd w:fill="FFFFFF" w:val="clear"/>
            <w:vAlign w:val="center"/>
          </w:tcPr>
          <w:p>
            <w:pPr>
              <w:pStyle w:val="TableContents"/>
              <w:bidi w:val="0"/>
              <w:spacing w:before="0" w:after="283"/>
              <w:jc w:val="left"/>
              <w:rPr>
                <w:color w:val="231F20"/>
              </w:rPr>
            </w:pPr>
            <w:r>
              <w:rPr>
                <w:color w:val="231F20"/>
              </w:rPr>
              <w:t> </w:t>
            </w:r>
          </w:p>
        </w:tc>
        <w:tc>
          <w:tcPr>
            <w:tcW w:w="141" w:type="dxa"/>
            <w:tcBorders/>
            <w:shd w:fill="FFFFFF" w:val="clear"/>
            <w:vAlign w:val="center"/>
          </w:tcPr>
          <w:p>
            <w:pPr>
              <w:pStyle w:val="TableContents"/>
              <w:bidi w:val="0"/>
              <w:spacing w:before="0" w:after="283"/>
              <w:jc w:val="left"/>
              <w:rPr>
                <w:color w:val="231F20"/>
              </w:rPr>
            </w:pPr>
            <w:r>
              <w:rPr>
                <w:color w:val="231F20"/>
              </w:rPr>
              <w:t> </w:t>
            </w:r>
          </w:p>
        </w:tc>
        <w:tc>
          <w:tcPr>
            <w:tcW w:w="769" w:type="dxa"/>
            <w:tcBorders/>
            <w:shd w:fill="FFFFFF" w:val="clear"/>
            <w:vAlign w:val="center"/>
          </w:tcPr>
          <w:p>
            <w:pPr>
              <w:pStyle w:val="TableContents"/>
              <w:bidi w:val="0"/>
              <w:spacing w:before="0" w:after="283"/>
              <w:jc w:val="right"/>
              <w:rPr>
                <w:color w:val="231F20"/>
              </w:rPr>
            </w:pPr>
            <w:r>
              <w:rPr>
                <w:color w:val="231F20"/>
              </w:rPr>
              <w:t>1,250</w:t>
            </w:r>
          </w:p>
        </w:tc>
        <w:tc>
          <w:tcPr>
            <w:tcW w:w="114" w:type="dxa"/>
            <w:tcBorders/>
            <w:shd w:fill="FFFFFF" w:val="clear"/>
            <w:vAlign w:val="center"/>
          </w:tcPr>
          <w:p>
            <w:pPr>
              <w:pStyle w:val="TableContents"/>
              <w:bidi w:val="0"/>
              <w:spacing w:before="0" w:after="283"/>
              <w:ind w:left="0" w:right="0" w:hanging="144"/>
              <w:jc w:val="left"/>
              <w:rPr>
                <w:color w:val="231F20"/>
              </w:rPr>
            </w:pPr>
            <w:r>
              <w:rPr>
                <w:color w:val="231F20"/>
              </w:rPr>
              <w:t> </w:t>
            </w:r>
          </w:p>
        </w:tc>
      </w:tr>
      <w:tr>
        <w:trPr/>
        <w:tc>
          <w:tcPr>
            <w:tcW w:w="8056" w:type="dxa"/>
            <w:tcBorders/>
            <w:shd w:fill="CCEEFF" w:val="clear"/>
            <w:vAlign w:val="center"/>
          </w:tcPr>
          <w:p>
            <w:pPr>
              <w:pStyle w:val="TableContents"/>
              <w:bidi w:val="0"/>
              <w:spacing w:before="0" w:after="283"/>
              <w:jc w:val="left"/>
              <w:rPr>
                <w:color w:val="231F20"/>
                <w:sz w:val="20"/>
              </w:rPr>
            </w:pPr>
            <w:r>
              <w:rPr>
                <w:color w:val="231F20"/>
                <w:sz w:val="20"/>
              </w:rPr>
              <w:t>Other assets</w:t>
            </w:r>
          </w:p>
        </w:tc>
        <w:tc>
          <w:tcPr>
            <w:tcW w:w="60" w:type="dxa"/>
            <w:tcBorders/>
            <w:shd w:fill="CCEEFF" w:val="clear"/>
            <w:vAlign w:val="center"/>
          </w:tcPr>
          <w:p>
            <w:pPr>
              <w:pStyle w:val="TableContents"/>
              <w:bidi w:val="0"/>
              <w:spacing w:before="0" w:after="283"/>
              <w:jc w:val="left"/>
              <w:rPr>
                <w:color w:val="231F20"/>
              </w:rPr>
            </w:pPr>
            <w:r>
              <w:rPr>
                <w:color w:val="231F20"/>
              </w:rPr>
              <w:t> </w:t>
            </w:r>
          </w:p>
        </w:tc>
        <w:tc>
          <w:tcPr>
            <w:tcW w:w="141" w:type="dxa"/>
            <w:tcBorders/>
            <w:shd w:fill="CCEEFF" w:val="clear"/>
            <w:vAlign w:val="center"/>
          </w:tcPr>
          <w:p>
            <w:pPr>
              <w:pStyle w:val="TableContents"/>
              <w:bidi w:val="0"/>
              <w:spacing w:before="0" w:after="283"/>
              <w:jc w:val="left"/>
              <w:rPr>
                <w:color w:val="231F20"/>
              </w:rPr>
            </w:pPr>
            <w:r>
              <w:rPr>
                <w:color w:val="231F20"/>
              </w:rPr>
              <w:t> </w:t>
            </w:r>
          </w:p>
        </w:tc>
        <w:tc>
          <w:tcPr>
            <w:tcW w:w="769" w:type="dxa"/>
            <w:tcBorders/>
            <w:shd w:fill="CCEEFF" w:val="clear"/>
            <w:vAlign w:val="center"/>
          </w:tcPr>
          <w:p>
            <w:pPr>
              <w:pStyle w:val="TableContents"/>
              <w:bidi w:val="0"/>
              <w:spacing w:before="0" w:after="283"/>
              <w:jc w:val="right"/>
              <w:rPr>
                <w:color w:val="231F20"/>
              </w:rPr>
            </w:pPr>
            <w:r>
              <w:rPr>
                <w:color w:val="231F20"/>
              </w:rPr>
              <w:t>(51</w:t>
            </w:r>
          </w:p>
        </w:tc>
        <w:tc>
          <w:tcPr>
            <w:tcW w:w="95" w:type="dxa"/>
            <w:tcBorders/>
            <w:shd w:fill="CCEEFF" w:val="clear"/>
            <w:vAlign w:val="center"/>
          </w:tcPr>
          <w:p>
            <w:pPr>
              <w:pStyle w:val="TableContents"/>
              <w:bidi w:val="0"/>
              <w:spacing w:before="0" w:after="283"/>
              <w:jc w:val="left"/>
              <w:rPr>
                <w:color w:val="231F20"/>
              </w:rPr>
            </w:pPr>
            <w:r>
              <w:rPr>
                <w:color w:val="231F20"/>
              </w:rPr>
              <w:t>)</w:t>
            </w:r>
          </w:p>
        </w:tc>
        <w:tc>
          <w:tcPr>
            <w:tcW w:w="60" w:type="dxa"/>
            <w:tcBorders/>
            <w:shd w:fill="CCEEFF" w:val="clear"/>
            <w:vAlign w:val="center"/>
          </w:tcPr>
          <w:p>
            <w:pPr>
              <w:pStyle w:val="TableContents"/>
              <w:bidi w:val="0"/>
              <w:spacing w:before="0" w:after="283"/>
              <w:jc w:val="left"/>
              <w:rPr>
                <w:color w:val="231F20"/>
              </w:rPr>
            </w:pPr>
            <w:r>
              <w:rPr>
                <w:color w:val="231F20"/>
              </w:rPr>
              <w:t> </w:t>
            </w:r>
          </w:p>
        </w:tc>
        <w:tc>
          <w:tcPr>
            <w:tcW w:w="141" w:type="dxa"/>
            <w:tcBorders/>
            <w:shd w:fill="CCEEFF" w:val="clear"/>
            <w:vAlign w:val="center"/>
          </w:tcPr>
          <w:p>
            <w:pPr>
              <w:pStyle w:val="TableContents"/>
              <w:bidi w:val="0"/>
              <w:spacing w:before="0" w:after="283"/>
              <w:jc w:val="left"/>
              <w:rPr>
                <w:color w:val="231F20"/>
              </w:rPr>
            </w:pPr>
            <w:r>
              <w:rPr>
                <w:color w:val="231F20"/>
              </w:rPr>
              <w:t> </w:t>
            </w:r>
          </w:p>
        </w:tc>
        <w:tc>
          <w:tcPr>
            <w:tcW w:w="769" w:type="dxa"/>
            <w:tcBorders/>
            <w:shd w:fill="CCEEFF" w:val="clear"/>
            <w:vAlign w:val="center"/>
          </w:tcPr>
          <w:p>
            <w:pPr>
              <w:pStyle w:val="TableContents"/>
              <w:bidi w:val="0"/>
              <w:spacing w:before="0" w:after="283"/>
              <w:jc w:val="right"/>
              <w:rPr>
                <w:color w:val="231F20"/>
              </w:rPr>
            </w:pPr>
            <w:r>
              <w:rPr>
                <w:color w:val="231F20"/>
              </w:rPr>
              <w:t>3</w:t>
            </w:r>
          </w:p>
        </w:tc>
        <w:tc>
          <w:tcPr>
            <w:tcW w:w="114" w:type="dxa"/>
            <w:tcBorders/>
            <w:shd w:fill="CCEEFF" w:val="clear"/>
            <w:vAlign w:val="center"/>
          </w:tcPr>
          <w:p>
            <w:pPr>
              <w:pStyle w:val="TableContents"/>
              <w:bidi w:val="0"/>
              <w:spacing w:before="0" w:after="283"/>
              <w:ind w:left="0" w:right="0" w:hanging="144"/>
              <w:jc w:val="left"/>
              <w:rPr>
                <w:color w:val="231F20"/>
              </w:rPr>
            </w:pPr>
            <w:r>
              <w:rPr>
                <w:color w:val="231F20"/>
              </w:rPr>
              <w:t> </w:t>
            </w:r>
          </w:p>
        </w:tc>
      </w:tr>
      <w:tr>
        <w:trPr/>
        <w:tc>
          <w:tcPr>
            <w:tcW w:w="8056" w:type="dxa"/>
            <w:tcBorders/>
            <w:shd w:fill="FFFFFF" w:val="clear"/>
            <w:vAlign w:val="center"/>
          </w:tcPr>
          <w:p>
            <w:pPr>
              <w:pStyle w:val="TableContents"/>
              <w:bidi w:val="0"/>
              <w:spacing w:before="0" w:after="283"/>
              <w:jc w:val="left"/>
              <w:rPr>
                <w:color w:val="231F20"/>
                <w:sz w:val="20"/>
              </w:rPr>
            </w:pPr>
            <w:r>
              <w:rPr>
                <w:color w:val="231F20"/>
                <w:sz w:val="20"/>
              </w:rPr>
              <w:t>Accounts payable</w:t>
            </w:r>
          </w:p>
        </w:tc>
        <w:tc>
          <w:tcPr>
            <w:tcW w:w="60" w:type="dxa"/>
            <w:tcBorders/>
            <w:shd w:fill="FFFFFF" w:val="clear"/>
            <w:vAlign w:val="center"/>
          </w:tcPr>
          <w:p>
            <w:pPr>
              <w:pStyle w:val="TableContents"/>
              <w:bidi w:val="0"/>
              <w:spacing w:before="0" w:after="283"/>
              <w:jc w:val="left"/>
              <w:rPr>
                <w:color w:val="231F20"/>
              </w:rPr>
            </w:pPr>
            <w:r>
              <w:rPr>
                <w:color w:val="231F20"/>
              </w:rPr>
              <w:t> </w:t>
            </w:r>
          </w:p>
        </w:tc>
        <w:tc>
          <w:tcPr>
            <w:tcW w:w="141" w:type="dxa"/>
            <w:tcBorders/>
            <w:shd w:fill="FFFFFF" w:val="clear"/>
            <w:vAlign w:val="center"/>
          </w:tcPr>
          <w:p>
            <w:pPr>
              <w:pStyle w:val="TableContents"/>
              <w:bidi w:val="0"/>
              <w:spacing w:before="0" w:after="283"/>
              <w:jc w:val="left"/>
              <w:rPr>
                <w:color w:val="231F20"/>
              </w:rPr>
            </w:pPr>
            <w:r>
              <w:rPr>
                <w:color w:val="231F20"/>
              </w:rPr>
              <w:t> </w:t>
            </w:r>
          </w:p>
        </w:tc>
        <w:tc>
          <w:tcPr>
            <w:tcW w:w="769" w:type="dxa"/>
            <w:tcBorders/>
            <w:shd w:fill="FFFFFF" w:val="clear"/>
            <w:vAlign w:val="center"/>
          </w:tcPr>
          <w:p>
            <w:pPr>
              <w:pStyle w:val="TableContents"/>
              <w:bidi w:val="0"/>
              <w:spacing w:before="0" w:after="283"/>
              <w:jc w:val="right"/>
              <w:rPr>
                <w:color w:val="231F20"/>
              </w:rPr>
            </w:pPr>
            <w:r>
              <w:rPr>
                <w:color w:val="231F20"/>
              </w:rPr>
              <w:t>17,112</w:t>
            </w:r>
          </w:p>
        </w:tc>
        <w:tc>
          <w:tcPr>
            <w:tcW w:w="95" w:type="dxa"/>
            <w:tcBorders/>
            <w:shd w:fill="FFFFFF" w:val="clear"/>
            <w:vAlign w:val="center"/>
          </w:tcPr>
          <w:p>
            <w:pPr>
              <w:pStyle w:val="TableContents"/>
              <w:bidi w:val="0"/>
              <w:spacing w:before="0" w:after="283"/>
              <w:jc w:val="left"/>
              <w:rPr>
                <w:color w:val="231F20"/>
              </w:rPr>
            </w:pPr>
            <w:r>
              <w:rPr>
                <w:color w:val="231F20"/>
              </w:rPr>
              <w:t> </w:t>
            </w:r>
          </w:p>
        </w:tc>
        <w:tc>
          <w:tcPr>
            <w:tcW w:w="60" w:type="dxa"/>
            <w:tcBorders/>
            <w:shd w:fill="FFFFFF" w:val="clear"/>
            <w:vAlign w:val="center"/>
          </w:tcPr>
          <w:p>
            <w:pPr>
              <w:pStyle w:val="TableContents"/>
              <w:bidi w:val="0"/>
              <w:spacing w:before="0" w:after="283"/>
              <w:jc w:val="left"/>
              <w:rPr>
                <w:color w:val="231F20"/>
              </w:rPr>
            </w:pPr>
            <w:r>
              <w:rPr>
                <w:color w:val="231F20"/>
              </w:rPr>
              <w:t> </w:t>
            </w:r>
          </w:p>
        </w:tc>
        <w:tc>
          <w:tcPr>
            <w:tcW w:w="141" w:type="dxa"/>
            <w:tcBorders/>
            <w:shd w:fill="FFFFFF" w:val="clear"/>
            <w:vAlign w:val="center"/>
          </w:tcPr>
          <w:p>
            <w:pPr>
              <w:pStyle w:val="TableContents"/>
              <w:bidi w:val="0"/>
              <w:spacing w:before="0" w:after="283"/>
              <w:jc w:val="left"/>
              <w:rPr>
                <w:color w:val="231F20"/>
              </w:rPr>
            </w:pPr>
            <w:r>
              <w:rPr>
                <w:color w:val="231F20"/>
              </w:rPr>
              <w:t> </w:t>
            </w:r>
          </w:p>
        </w:tc>
        <w:tc>
          <w:tcPr>
            <w:tcW w:w="769" w:type="dxa"/>
            <w:tcBorders/>
            <w:shd w:fill="FFFFFF" w:val="clear"/>
            <w:vAlign w:val="center"/>
          </w:tcPr>
          <w:p>
            <w:pPr>
              <w:pStyle w:val="TableContents"/>
              <w:bidi w:val="0"/>
              <w:spacing w:before="0" w:after="283"/>
              <w:jc w:val="right"/>
              <w:rPr>
                <w:color w:val="231F20"/>
              </w:rPr>
            </w:pPr>
            <w:r>
              <w:rPr>
                <w:color w:val="231F20"/>
              </w:rPr>
              <w:t>11,490</w:t>
            </w:r>
          </w:p>
        </w:tc>
        <w:tc>
          <w:tcPr>
            <w:tcW w:w="114" w:type="dxa"/>
            <w:tcBorders/>
            <w:shd w:fill="FFFFFF" w:val="clear"/>
            <w:vAlign w:val="center"/>
          </w:tcPr>
          <w:p>
            <w:pPr>
              <w:pStyle w:val="TableContents"/>
              <w:bidi w:val="0"/>
              <w:spacing w:before="0" w:after="283"/>
              <w:ind w:left="0" w:right="0" w:hanging="144"/>
              <w:jc w:val="left"/>
              <w:rPr>
                <w:color w:val="231F20"/>
              </w:rPr>
            </w:pPr>
            <w:r>
              <w:rPr>
                <w:color w:val="231F20"/>
              </w:rPr>
              <w:t> </w:t>
            </w:r>
          </w:p>
        </w:tc>
      </w:tr>
      <w:tr>
        <w:trPr/>
        <w:tc>
          <w:tcPr>
            <w:tcW w:w="8056" w:type="dxa"/>
            <w:tcBorders/>
            <w:shd w:fill="CCEEFF" w:val="clear"/>
            <w:vAlign w:val="center"/>
          </w:tcPr>
          <w:p>
            <w:pPr>
              <w:pStyle w:val="TableContents"/>
              <w:bidi w:val="0"/>
              <w:spacing w:before="0" w:after="283"/>
              <w:jc w:val="left"/>
              <w:rPr>
                <w:color w:val="231F20"/>
                <w:sz w:val="20"/>
              </w:rPr>
            </w:pPr>
            <w:r>
              <w:rPr>
                <w:color w:val="231F20"/>
                <w:sz w:val="20"/>
              </w:rPr>
              <w:t>Change in operating leases</w:t>
            </w:r>
          </w:p>
        </w:tc>
        <w:tc>
          <w:tcPr>
            <w:tcW w:w="60" w:type="dxa"/>
            <w:tcBorders/>
            <w:shd w:fill="CCEEFF" w:val="clear"/>
            <w:vAlign w:val="center"/>
          </w:tcPr>
          <w:p>
            <w:pPr>
              <w:pStyle w:val="TableContents"/>
              <w:bidi w:val="0"/>
              <w:spacing w:before="0" w:after="283"/>
              <w:jc w:val="left"/>
              <w:rPr>
                <w:color w:val="231F20"/>
              </w:rPr>
            </w:pPr>
            <w:r>
              <w:rPr>
                <w:color w:val="231F20"/>
              </w:rPr>
              <w:t> </w:t>
            </w:r>
          </w:p>
        </w:tc>
        <w:tc>
          <w:tcPr>
            <w:tcW w:w="141" w:type="dxa"/>
            <w:tcBorders/>
            <w:shd w:fill="CCEEFF" w:val="clear"/>
            <w:vAlign w:val="center"/>
          </w:tcPr>
          <w:p>
            <w:pPr>
              <w:pStyle w:val="TableContents"/>
              <w:bidi w:val="0"/>
              <w:spacing w:before="0" w:after="283"/>
              <w:jc w:val="left"/>
              <w:rPr>
                <w:color w:val="231F20"/>
              </w:rPr>
            </w:pPr>
            <w:r>
              <w:rPr>
                <w:color w:val="231F20"/>
              </w:rPr>
              <w:t> </w:t>
            </w:r>
          </w:p>
        </w:tc>
        <w:tc>
          <w:tcPr>
            <w:tcW w:w="769" w:type="dxa"/>
            <w:tcBorders/>
            <w:shd w:fill="CCEEFF" w:val="clear"/>
            <w:vAlign w:val="center"/>
          </w:tcPr>
          <w:p>
            <w:pPr>
              <w:pStyle w:val="TableContents"/>
              <w:bidi w:val="0"/>
              <w:spacing w:before="0" w:after="283"/>
              <w:jc w:val="right"/>
              <w:rPr>
                <w:color w:val="231F20"/>
              </w:rPr>
            </w:pPr>
            <w:r>
              <w:rPr>
                <w:color w:val="231F20"/>
              </w:rPr>
              <w:t>(492</w:t>
            </w:r>
          </w:p>
        </w:tc>
        <w:tc>
          <w:tcPr>
            <w:tcW w:w="95" w:type="dxa"/>
            <w:tcBorders/>
            <w:shd w:fill="CCEEFF" w:val="clear"/>
            <w:vAlign w:val="center"/>
          </w:tcPr>
          <w:p>
            <w:pPr>
              <w:pStyle w:val="TableContents"/>
              <w:bidi w:val="0"/>
              <w:spacing w:before="0" w:after="283"/>
              <w:jc w:val="left"/>
              <w:rPr>
                <w:color w:val="231F20"/>
              </w:rPr>
            </w:pPr>
            <w:r>
              <w:rPr>
                <w:color w:val="231F20"/>
              </w:rPr>
              <w:t>)</w:t>
            </w:r>
          </w:p>
        </w:tc>
        <w:tc>
          <w:tcPr>
            <w:tcW w:w="60" w:type="dxa"/>
            <w:tcBorders/>
            <w:shd w:fill="CCEEFF" w:val="clear"/>
            <w:vAlign w:val="center"/>
          </w:tcPr>
          <w:p>
            <w:pPr>
              <w:pStyle w:val="TableContents"/>
              <w:bidi w:val="0"/>
              <w:spacing w:before="0" w:after="283"/>
              <w:jc w:val="left"/>
              <w:rPr>
                <w:color w:val="231F20"/>
              </w:rPr>
            </w:pPr>
            <w:r>
              <w:rPr>
                <w:color w:val="231F20"/>
              </w:rPr>
              <w:t> </w:t>
            </w:r>
          </w:p>
        </w:tc>
        <w:tc>
          <w:tcPr>
            <w:tcW w:w="141" w:type="dxa"/>
            <w:tcBorders/>
            <w:shd w:fill="CCEEFF" w:val="clear"/>
            <w:vAlign w:val="center"/>
          </w:tcPr>
          <w:p>
            <w:pPr>
              <w:pStyle w:val="TableContents"/>
              <w:bidi w:val="0"/>
              <w:spacing w:before="0" w:after="283"/>
              <w:jc w:val="left"/>
              <w:rPr>
                <w:color w:val="231F20"/>
              </w:rPr>
            </w:pPr>
            <w:r>
              <w:rPr>
                <w:color w:val="231F20"/>
              </w:rPr>
              <w:t> </w:t>
            </w:r>
          </w:p>
        </w:tc>
        <w:tc>
          <w:tcPr>
            <w:tcW w:w="769" w:type="dxa"/>
            <w:tcBorders/>
            <w:shd w:fill="CCEEFF" w:val="clear"/>
            <w:vAlign w:val="center"/>
          </w:tcPr>
          <w:p>
            <w:pPr>
              <w:pStyle w:val="TableContents"/>
              <w:bidi w:val="0"/>
              <w:spacing w:before="0" w:after="283"/>
              <w:jc w:val="right"/>
              <w:rPr>
                <w:color w:val="231F20"/>
              </w:rPr>
            </w:pPr>
            <w:r>
              <w:rPr>
                <w:color w:val="231F20"/>
              </w:rPr>
              <w:t>(120</w:t>
            </w:r>
          </w:p>
        </w:tc>
        <w:tc>
          <w:tcPr>
            <w:tcW w:w="114" w:type="dxa"/>
            <w:tcBorders/>
            <w:shd w:fill="CCEEFF" w:val="clear"/>
            <w:vAlign w:val="center"/>
          </w:tcPr>
          <w:p>
            <w:pPr>
              <w:pStyle w:val="TableContents"/>
              <w:bidi w:val="0"/>
              <w:spacing w:before="0" w:after="283"/>
              <w:ind w:left="0" w:right="0" w:hanging="144"/>
              <w:jc w:val="left"/>
              <w:rPr>
                <w:color w:val="231F20"/>
              </w:rPr>
            </w:pPr>
            <w:r>
              <w:rPr>
                <w:color w:val="231F20"/>
              </w:rPr>
              <w:t>)</w:t>
            </w:r>
          </w:p>
        </w:tc>
      </w:tr>
      <w:tr>
        <w:trPr/>
        <w:tc>
          <w:tcPr>
            <w:tcW w:w="8056" w:type="dxa"/>
            <w:tcBorders/>
            <w:shd w:fill="FFFFFF" w:val="clear"/>
            <w:vAlign w:val="center"/>
          </w:tcPr>
          <w:p>
            <w:pPr>
              <w:pStyle w:val="TableContents"/>
              <w:bidi w:val="0"/>
              <w:spacing w:before="0" w:after="283"/>
              <w:jc w:val="left"/>
              <w:rPr>
                <w:color w:val="231F20"/>
                <w:sz w:val="20"/>
              </w:rPr>
            </w:pPr>
            <w:r>
              <w:rPr>
                <w:color w:val="231F20"/>
                <w:sz w:val="20"/>
              </w:rPr>
              <w:t>Accrued expenses and other current liabilities</w:t>
            </w:r>
          </w:p>
        </w:tc>
        <w:tc>
          <w:tcPr>
            <w:tcW w:w="60" w:type="dxa"/>
            <w:tcBorders/>
            <w:shd w:fill="FFFFFF" w:val="clear"/>
            <w:vAlign w:val="center"/>
          </w:tcPr>
          <w:p>
            <w:pPr>
              <w:pStyle w:val="TableContents"/>
              <w:bidi w:val="0"/>
              <w:spacing w:before="0" w:after="283"/>
              <w:jc w:val="left"/>
              <w:rPr>
                <w:color w:val="231F20"/>
              </w:rPr>
            </w:pPr>
            <w:r>
              <w:rPr>
                <w:color w:val="231F20"/>
              </w:rPr>
              <w:t> </w:t>
            </w:r>
          </w:p>
        </w:tc>
        <w:tc>
          <w:tcPr>
            <w:tcW w:w="141" w:type="dxa"/>
            <w:tcBorders/>
            <w:shd w:fill="FFFFFF" w:val="clear"/>
            <w:vAlign w:val="center"/>
          </w:tcPr>
          <w:p>
            <w:pPr>
              <w:pStyle w:val="TableContents"/>
              <w:bidi w:val="0"/>
              <w:spacing w:before="0" w:after="283"/>
              <w:jc w:val="left"/>
              <w:rPr>
                <w:color w:val="231F20"/>
              </w:rPr>
            </w:pPr>
            <w:r>
              <w:rPr>
                <w:color w:val="231F20"/>
              </w:rPr>
              <w:t> </w:t>
            </w:r>
          </w:p>
        </w:tc>
        <w:tc>
          <w:tcPr>
            <w:tcW w:w="769" w:type="dxa"/>
            <w:tcBorders/>
            <w:shd w:fill="FFFFFF" w:val="clear"/>
            <w:vAlign w:val="center"/>
          </w:tcPr>
          <w:p>
            <w:pPr>
              <w:pStyle w:val="TableContents"/>
              <w:bidi w:val="0"/>
              <w:spacing w:before="0" w:after="283"/>
              <w:jc w:val="right"/>
              <w:rPr>
                <w:color w:val="231F20"/>
              </w:rPr>
            </w:pPr>
            <w:r>
              <w:rPr>
                <w:color w:val="231F20"/>
              </w:rPr>
              <w:t>7,353</w:t>
            </w:r>
          </w:p>
        </w:tc>
        <w:tc>
          <w:tcPr>
            <w:tcW w:w="95" w:type="dxa"/>
            <w:tcBorders/>
            <w:shd w:fill="FFFFFF" w:val="clear"/>
            <w:vAlign w:val="center"/>
          </w:tcPr>
          <w:p>
            <w:pPr>
              <w:pStyle w:val="TableContents"/>
              <w:bidi w:val="0"/>
              <w:spacing w:before="0" w:after="283"/>
              <w:jc w:val="left"/>
              <w:rPr>
                <w:color w:val="231F20"/>
              </w:rPr>
            </w:pPr>
            <w:r>
              <w:rPr>
                <w:color w:val="231F20"/>
              </w:rPr>
              <w:t> </w:t>
            </w:r>
          </w:p>
        </w:tc>
        <w:tc>
          <w:tcPr>
            <w:tcW w:w="60" w:type="dxa"/>
            <w:tcBorders/>
            <w:shd w:fill="FFFFFF" w:val="clear"/>
            <w:vAlign w:val="center"/>
          </w:tcPr>
          <w:p>
            <w:pPr>
              <w:pStyle w:val="TableContents"/>
              <w:bidi w:val="0"/>
              <w:spacing w:before="0" w:after="283"/>
              <w:jc w:val="left"/>
              <w:rPr>
                <w:color w:val="231F20"/>
              </w:rPr>
            </w:pPr>
            <w:r>
              <w:rPr>
                <w:color w:val="231F20"/>
              </w:rPr>
              <w:t> </w:t>
            </w:r>
          </w:p>
        </w:tc>
        <w:tc>
          <w:tcPr>
            <w:tcW w:w="141" w:type="dxa"/>
            <w:tcBorders/>
            <w:shd w:fill="FFFFFF" w:val="clear"/>
            <w:vAlign w:val="center"/>
          </w:tcPr>
          <w:p>
            <w:pPr>
              <w:pStyle w:val="TableContents"/>
              <w:bidi w:val="0"/>
              <w:spacing w:before="0" w:after="283"/>
              <w:jc w:val="left"/>
              <w:rPr>
                <w:color w:val="231F20"/>
              </w:rPr>
            </w:pPr>
            <w:r>
              <w:rPr>
                <w:color w:val="231F20"/>
              </w:rPr>
              <w:t> </w:t>
            </w:r>
          </w:p>
        </w:tc>
        <w:tc>
          <w:tcPr>
            <w:tcW w:w="769" w:type="dxa"/>
            <w:tcBorders/>
            <w:shd w:fill="FFFFFF" w:val="clear"/>
            <w:vAlign w:val="center"/>
          </w:tcPr>
          <w:p>
            <w:pPr>
              <w:pStyle w:val="TableContents"/>
              <w:bidi w:val="0"/>
              <w:spacing w:before="0" w:after="283"/>
              <w:jc w:val="right"/>
              <w:rPr>
                <w:color w:val="231F20"/>
              </w:rPr>
            </w:pPr>
            <w:r>
              <w:rPr>
                <w:color w:val="231F20"/>
              </w:rPr>
              <w:t>2,262</w:t>
            </w:r>
          </w:p>
        </w:tc>
        <w:tc>
          <w:tcPr>
            <w:tcW w:w="114" w:type="dxa"/>
            <w:tcBorders/>
            <w:shd w:fill="FFFFFF" w:val="clear"/>
            <w:vAlign w:val="center"/>
          </w:tcPr>
          <w:p>
            <w:pPr>
              <w:pStyle w:val="TableContents"/>
              <w:bidi w:val="0"/>
              <w:spacing w:before="0" w:after="283"/>
              <w:ind w:left="0" w:right="0" w:hanging="144"/>
              <w:jc w:val="left"/>
              <w:rPr>
                <w:color w:val="231F20"/>
              </w:rPr>
            </w:pPr>
            <w:r>
              <w:rPr>
                <w:color w:val="231F20"/>
              </w:rPr>
              <w:t> </w:t>
            </w:r>
          </w:p>
        </w:tc>
      </w:tr>
      <w:tr>
        <w:trPr/>
        <w:tc>
          <w:tcPr>
            <w:tcW w:w="8056" w:type="dxa"/>
            <w:tcBorders/>
            <w:shd w:fill="CCEEFF" w:val="clear"/>
            <w:vAlign w:val="center"/>
          </w:tcPr>
          <w:p>
            <w:pPr>
              <w:pStyle w:val="TableContents"/>
              <w:bidi w:val="0"/>
              <w:spacing w:before="0" w:after="283"/>
              <w:jc w:val="left"/>
              <w:rPr>
                <w:color w:val="231F20"/>
                <w:sz w:val="20"/>
              </w:rPr>
            </w:pPr>
            <w:r>
              <w:rPr>
                <w:color w:val="231F20"/>
                <w:sz w:val="20"/>
              </w:rPr>
              <w:t>Other non-current liabilities</w:t>
            </w:r>
          </w:p>
        </w:tc>
        <w:tc>
          <w:tcPr>
            <w:tcW w:w="60" w:type="dxa"/>
            <w:tcBorders/>
            <w:shd w:fill="CCEEFF" w:val="clear"/>
            <w:vAlign w:val="center"/>
          </w:tcPr>
          <w:p>
            <w:pPr>
              <w:pStyle w:val="TableContents"/>
              <w:bidi w:val="0"/>
              <w:spacing w:before="0" w:after="283"/>
              <w:jc w:val="left"/>
              <w:rPr>
                <w:color w:val="231F20"/>
              </w:rPr>
            </w:pPr>
            <w:r>
              <w:rPr>
                <w:color w:val="231F20"/>
              </w:rPr>
              <w:t> </w:t>
            </w:r>
          </w:p>
        </w:tc>
        <w:tc>
          <w:tcPr>
            <w:tcW w:w="141" w:type="dxa"/>
            <w:tcBorders>
              <w:bottom w:val="single" w:sz="8" w:space="0" w:color="000000"/>
            </w:tcBorders>
            <w:shd w:fill="CCEEFF" w:val="clear"/>
            <w:tcMar>
              <w:bottom w:w="28" w:type="dxa"/>
            </w:tcMar>
            <w:vAlign w:val="center"/>
          </w:tcPr>
          <w:p>
            <w:pPr>
              <w:pStyle w:val="TableContents"/>
              <w:bidi w:val="0"/>
              <w:spacing w:before="0" w:after="283"/>
              <w:jc w:val="left"/>
              <w:rPr>
                <w:color w:val="231F20"/>
              </w:rPr>
            </w:pPr>
            <w:r>
              <w:rPr>
                <w:color w:val="231F20"/>
              </w:rPr>
              <w:t> </w:t>
            </w:r>
          </w:p>
        </w:tc>
        <w:tc>
          <w:tcPr>
            <w:tcW w:w="769" w:type="dxa"/>
            <w:tcBorders>
              <w:bottom w:val="single" w:sz="8" w:space="0" w:color="000000"/>
            </w:tcBorders>
            <w:shd w:fill="CCEEFF" w:val="clear"/>
            <w:tcMar>
              <w:bottom w:w="28" w:type="dxa"/>
            </w:tcMar>
            <w:vAlign w:val="center"/>
          </w:tcPr>
          <w:p>
            <w:pPr>
              <w:pStyle w:val="TableContents"/>
              <w:bidi w:val="0"/>
              <w:spacing w:before="0" w:after="283"/>
              <w:jc w:val="right"/>
              <w:rPr>
                <w:color w:val="231F20"/>
              </w:rPr>
            </w:pPr>
            <w:r>
              <w:rPr>
                <w:color w:val="231F20"/>
              </w:rPr>
              <w:t>20</w:t>
            </w:r>
          </w:p>
        </w:tc>
        <w:tc>
          <w:tcPr>
            <w:tcW w:w="95" w:type="dxa"/>
            <w:tcBorders/>
            <w:shd w:fill="CCEEFF" w:val="clear"/>
            <w:vAlign w:val="center"/>
          </w:tcPr>
          <w:p>
            <w:pPr>
              <w:pStyle w:val="TableContents"/>
              <w:bidi w:val="0"/>
              <w:spacing w:before="0" w:after="283"/>
              <w:jc w:val="left"/>
              <w:rPr>
                <w:color w:val="231F20"/>
              </w:rPr>
            </w:pPr>
            <w:r>
              <w:rPr>
                <w:color w:val="231F20"/>
              </w:rPr>
              <w:t> </w:t>
            </w:r>
          </w:p>
        </w:tc>
        <w:tc>
          <w:tcPr>
            <w:tcW w:w="60" w:type="dxa"/>
            <w:tcBorders/>
            <w:shd w:fill="CCEEFF" w:val="clear"/>
            <w:vAlign w:val="center"/>
          </w:tcPr>
          <w:p>
            <w:pPr>
              <w:pStyle w:val="TableContents"/>
              <w:bidi w:val="0"/>
              <w:spacing w:before="0" w:after="283"/>
              <w:jc w:val="left"/>
              <w:rPr>
                <w:color w:val="231F20"/>
              </w:rPr>
            </w:pPr>
            <w:r>
              <w:rPr>
                <w:color w:val="231F20"/>
              </w:rPr>
              <w:t> </w:t>
            </w:r>
          </w:p>
        </w:tc>
        <w:tc>
          <w:tcPr>
            <w:tcW w:w="141" w:type="dxa"/>
            <w:tcBorders>
              <w:bottom w:val="single" w:sz="8" w:space="0" w:color="000000"/>
            </w:tcBorders>
            <w:shd w:fill="CCEEFF" w:val="clear"/>
            <w:tcMar>
              <w:bottom w:w="28" w:type="dxa"/>
            </w:tcMar>
            <w:vAlign w:val="center"/>
          </w:tcPr>
          <w:p>
            <w:pPr>
              <w:pStyle w:val="TableContents"/>
              <w:bidi w:val="0"/>
              <w:spacing w:before="0" w:after="283"/>
              <w:jc w:val="left"/>
              <w:rPr>
                <w:color w:val="231F20"/>
              </w:rPr>
            </w:pPr>
            <w:r>
              <w:rPr>
                <w:color w:val="231F20"/>
              </w:rPr>
              <w:t> </w:t>
            </w:r>
          </w:p>
        </w:tc>
        <w:tc>
          <w:tcPr>
            <w:tcW w:w="769" w:type="dxa"/>
            <w:tcBorders>
              <w:bottom w:val="single" w:sz="8" w:space="0" w:color="000000"/>
            </w:tcBorders>
            <w:shd w:fill="CCEEFF" w:val="clear"/>
            <w:tcMar>
              <w:bottom w:w="28" w:type="dxa"/>
            </w:tcMar>
            <w:vAlign w:val="center"/>
          </w:tcPr>
          <w:p>
            <w:pPr>
              <w:pStyle w:val="TableContents"/>
              <w:bidi w:val="0"/>
              <w:spacing w:before="0" w:after="283"/>
              <w:jc w:val="right"/>
              <w:rPr>
                <w:color w:val="231F20"/>
              </w:rPr>
            </w:pPr>
            <w:r>
              <w:rPr>
                <w:color w:val="231F20"/>
              </w:rPr>
              <w:t>(97</w:t>
            </w:r>
          </w:p>
        </w:tc>
        <w:tc>
          <w:tcPr>
            <w:tcW w:w="114" w:type="dxa"/>
            <w:tcBorders/>
            <w:shd w:fill="CCEEFF" w:val="clear"/>
            <w:vAlign w:val="center"/>
          </w:tcPr>
          <w:p>
            <w:pPr>
              <w:pStyle w:val="TableContents"/>
              <w:bidi w:val="0"/>
              <w:spacing w:before="0" w:after="283"/>
              <w:jc w:val="left"/>
              <w:rPr>
                <w:color w:val="231F20"/>
              </w:rPr>
            </w:pPr>
            <w:r>
              <w:rPr>
                <w:color w:val="231F20"/>
              </w:rPr>
              <w:t>)</w:t>
            </w:r>
          </w:p>
        </w:tc>
      </w:tr>
      <w:tr>
        <w:trPr/>
        <w:tc>
          <w:tcPr>
            <w:tcW w:w="8056" w:type="dxa"/>
            <w:tcBorders/>
            <w:shd w:fill="FFFFFF" w:val="clear"/>
            <w:vAlign w:val="center"/>
          </w:tcPr>
          <w:p>
            <w:pPr>
              <w:pStyle w:val="TableContents"/>
              <w:bidi w:val="0"/>
              <w:spacing w:before="0" w:after="283"/>
              <w:jc w:val="left"/>
              <w:rPr>
                <w:b/>
                <w:color w:val="231F20"/>
                <w:sz w:val="20"/>
              </w:rPr>
            </w:pPr>
            <w:r>
              <w:rPr>
                <w:b/>
                <w:color w:val="231F20"/>
                <w:sz w:val="20"/>
              </w:rPr>
              <w:t>Net cash and cash equivalents provided by (used in) operating activities</w:t>
            </w:r>
          </w:p>
        </w:tc>
        <w:tc>
          <w:tcPr>
            <w:tcW w:w="60" w:type="dxa"/>
            <w:tcBorders/>
            <w:shd w:fill="FFFFFF" w:val="clear"/>
            <w:vAlign w:val="center"/>
          </w:tcPr>
          <w:p>
            <w:pPr>
              <w:pStyle w:val="TableContents"/>
              <w:bidi w:val="0"/>
              <w:spacing w:before="0" w:after="283"/>
              <w:jc w:val="left"/>
              <w:rPr>
                <w:color w:val="231F20"/>
              </w:rPr>
            </w:pPr>
            <w:r>
              <w:rPr>
                <w:color w:val="231F20"/>
              </w:rPr>
              <w:t> </w:t>
            </w:r>
          </w:p>
        </w:tc>
        <w:tc>
          <w:tcPr>
            <w:tcW w:w="141" w:type="dxa"/>
            <w:tcBorders/>
            <w:shd w:fill="FFFFFF" w:val="clear"/>
            <w:vAlign w:val="center"/>
          </w:tcPr>
          <w:p>
            <w:pPr>
              <w:pStyle w:val="TableContents"/>
              <w:bidi w:val="0"/>
              <w:spacing w:before="0" w:after="283"/>
              <w:jc w:val="left"/>
              <w:rPr>
                <w:color w:val="231F20"/>
              </w:rPr>
            </w:pPr>
            <w:r>
              <w:rPr>
                <w:color w:val="231F20"/>
              </w:rPr>
              <w:t> </w:t>
            </w:r>
          </w:p>
        </w:tc>
        <w:tc>
          <w:tcPr>
            <w:tcW w:w="769" w:type="dxa"/>
            <w:tcBorders/>
            <w:shd w:fill="FFFFFF" w:val="clear"/>
            <w:vAlign w:val="center"/>
          </w:tcPr>
          <w:p>
            <w:pPr>
              <w:pStyle w:val="TableContents"/>
              <w:bidi w:val="0"/>
              <w:spacing w:before="0" w:after="283"/>
              <w:jc w:val="right"/>
              <w:rPr>
                <w:color w:val="231F20"/>
              </w:rPr>
            </w:pPr>
            <w:r>
              <w:rPr>
                <w:color w:val="231F20"/>
              </w:rPr>
              <w:t>9,725</w:t>
            </w:r>
          </w:p>
        </w:tc>
        <w:tc>
          <w:tcPr>
            <w:tcW w:w="95" w:type="dxa"/>
            <w:tcBorders/>
            <w:shd w:fill="FFFFFF" w:val="clear"/>
            <w:vAlign w:val="center"/>
          </w:tcPr>
          <w:p>
            <w:pPr>
              <w:pStyle w:val="TableContents"/>
              <w:bidi w:val="0"/>
              <w:spacing w:before="0" w:after="283"/>
              <w:jc w:val="left"/>
              <w:rPr>
                <w:color w:val="231F20"/>
              </w:rPr>
            </w:pPr>
            <w:r>
              <w:rPr>
                <w:color w:val="231F20"/>
              </w:rPr>
              <w:t> </w:t>
            </w:r>
          </w:p>
        </w:tc>
        <w:tc>
          <w:tcPr>
            <w:tcW w:w="60" w:type="dxa"/>
            <w:tcBorders/>
            <w:shd w:fill="FFFFFF" w:val="clear"/>
            <w:vAlign w:val="center"/>
          </w:tcPr>
          <w:p>
            <w:pPr>
              <w:pStyle w:val="TableContents"/>
              <w:bidi w:val="0"/>
              <w:spacing w:before="0" w:after="283"/>
              <w:jc w:val="left"/>
              <w:rPr>
                <w:color w:val="231F20"/>
              </w:rPr>
            </w:pPr>
            <w:r>
              <w:rPr>
                <w:color w:val="231F20"/>
              </w:rPr>
              <w:t> </w:t>
            </w:r>
          </w:p>
        </w:tc>
        <w:tc>
          <w:tcPr>
            <w:tcW w:w="141" w:type="dxa"/>
            <w:tcBorders/>
            <w:shd w:fill="FFFFFF" w:val="clear"/>
            <w:vAlign w:val="center"/>
          </w:tcPr>
          <w:p>
            <w:pPr>
              <w:pStyle w:val="TableContents"/>
              <w:bidi w:val="0"/>
              <w:spacing w:before="0" w:after="283"/>
              <w:jc w:val="left"/>
              <w:rPr>
                <w:color w:val="231F20"/>
              </w:rPr>
            </w:pPr>
            <w:r>
              <w:rPr>
                <w:color w:val="231F20"/>
              </w:rPr>
              <w:t> </w:t>
            </w:r>
          </w:p>
        </w:tc>
        <w:tc>
          <w:tcPr>
            <w:tcW w:w="769" w:type="dxa"/>
            <w:tcBorders/>
            <w:shd w:fill="FFFFFF" w:val="clear"/>
            <w:vAlign w:val="center"/>
          </w:tcPr>
          <w:p>
            <w:pPr>
              <w:pStyle w:val="TableContents"/>
              <w:bidi w:val="0"/>
              <w:spacing w:before="0" w:after="283"/>
              <w:jc w:val="right"/>
              <w:rPr>
                <w:color w:val="231F20"/>
              </w:rPr>
            </w:pPr>
            <w:r>
              <w:rPr>
                <w:color w:val="231F20"/>
              </w:rPr>
              <w:t>(15,190</w:t>
            </w:r>
          </w:p>
        </w:tc>
        <w:tc>
          <w:tcPr>
            <w:tcW w:w="114" w:type="dxa"/>
            <w:tcBorders/>
            <w:shd w:fill="FFFFFF" w:val="clear"/>
            <w:vAlign w:val="center"/>
          </w:tcPr>
          <w:p>
            <w:pPr>
              <w:pStyle w:val="TableContents"/>
              <w:bidi w:val="0"/>
              <w:spacing w:before="0" w:after="283"/>
              <w:jc w:val="left"/>
              <w:rPr>
                <w:color w:val="231F20"/>
              </w:rPr>
            </w:pPr>
            <w:r>
              <w:rPr>
                <w:color w:val="231F20"/>
              </w:rPr>
              <w:t>)</w:t>
            </w:r>
          </w:p>
        </w:tc>
      </w:tr>
      <w:tr>
        <w:trPr/>
        <w:tc>
          <w:tcPr>
            <w:tcW w:w="8056" w:type="dxa"/>
            <w:tcBorders/>
            <w:shd w:fill="CCEEFF" w:val="clear"/>
            <w:vAlign w:val="center"/>
          </w:tcPr>
          <w:p>
            <w:pPr>
              <w:pStyle w:val="TableContents"/>
              <w:bidi w:val="0"/>
              <w:spacing w:before="0" w:after="283"/>
              <w:jc w:val="left"/>
              <w:rPr>
                <w:color w:val="231F20"/>
                <w:sz w:val="20"/>
              </w:rPr>
            </w:pPr>
            <w:r>
              <w:rPr>
                <w:color w:val="231F20"/>
                <w:sz w:val="20"/>
              </w:rPr>
              <w:t>Cash flows from investing activities:</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769"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769" w:type="dxa"/>
            <w:tcBorders/>
            <w:shd w:fill="CCEEFF" w:val="clear"/>
            <w:vAlign w:val="center"/>
          </w:tcPr>
          <w:p>
            <w:pPr>
              <w:pStyle w:val="TableContents"/>
              <w:bidi w:val="0"/>
              <w:spacing w:before="0" w:after="283"/>
              <w:jc w:val="right"/>
              <w:rPr/>
            </w:pPr>
            <w:r>
              <w:rPr/>
              <w:t> </w:t>
            </w:r>
          </w:p>
        </w:tc>
        <w:tc>
          <w:tcPr>
            <w:tcW w:w="114" w:type="dxa"/>
            <w:tcBorders/>
            <w:shd w:fill="CCEEFF" w:val="clear"/>
            <w:vAlign w:val="center"/>
          </w:tcPr>
          <w:p>
            <w:pPr>
              <w:pStyle w:val="TableContents"/>
              <w:bidi w:val="0"/>
              <w:spacing w:before="0" w:after="283"/>
              <w:ind w:left="0" w:right="0" w:hanging="144"/>
              <w:jc w:val="left"/>
              <w:rPr/>
            </w:pPr>
            <w:r>
              <w:rPr/>
              <w:t> </w:t>
            </w:r>
          </w:p>
        </w:tc>
      </w:tr>
      <w:tr>
        <w:trPr/>
        <w:tc>
          <w:tcPr>
            <w:tcW w:w="8056" w:type="dxa"/>
            <w:tcBorders/>
            <w:shd w:fill="FFFFFF" w:val="clear"/>
            <w:vAlign w:val="center"/>
          </w:tcPr>
          <w:p>
            <w:pPr>
              <w:pStyle w:val="TableContents"/>
              <w:bidi w:val="0"/>
              <w:spacing w:before="0" w:after="283"/>
              <w:jc w:val="left"/>
              <w:rPr>
                <w:color w:val="231F20"/>
                <w:sz w:val="20"/>
              </w:rPr>
            </w:pPr>
            <w:r>
              <w:rPr>
                <w:color w:val="231F20"/>
                <w:sz w:val="20"/>
              </w:rPr>
              <w:t>Purchases of property and equipment</w:t>
            </w:r>
          </w:p>
        </w:tc>
        <w:tc>
          <w:tcPr>
            <w:tcW w:w="60" w:type="dxa"/>
            <w:tcBorders/>
            <w:shd w:fill="FFFFFF" w:val="clear"/>
            <w:vAlign w:val="center"/>
          </w:tcPr>
          <w:p>
            <w:pPr>
              <w:pStyle w:val="TableContents"/>
              <w:bidi w:val="0"/>
              <w:spacing w:before="0" w:after="283"/>
              <w:jc w:val="left"/>
              <w:rPr>
                <w:color w:val="231F20"/>
              </w:rPr>
            </w:pPr>
            <w:r>
              <w:rPr>
                <w:color w:val="231F20"/>
              </w:rPr>
              <w:t> </w:t>
            </w:r>
          </w:p>
        </w:tc>
        <w:tc>
          <w:tcPr>
            <w:tcW w:w="141" w:type="dxa"/>
            <w:tcBorders/>
            <w:shd w:fill="FFFFFF" w:val="clear"/>
            <w:vAlign w:val="center"/>
          </w:tcPr>
          <w:p>
            <w:pPr>
              <w:pStyle w:val="TableContents"/>
              <w:bidi w:val="0"/>
              <w:spacing w:before="0" w:after="283"/>
              <w:jc w:val="left"/>
              <w:rPr>
                <w:color w:val="231F20"/>
              </w:rPr>
            </w:pPr>
            <w:r>
              <w:rPr>
                <w:color w:val="231F20"/>
              </w:rPr>
              <w:t> </w:t>
            </w:r>
          </w:p>
        </w:tc>
        <w:tc>
          <w:tcPr>
            <w:tcW w:w="769" w:type="dxa"/>
            <w:tcBorders/>
            <w:shd w:fill="FFFFFF" w:val="clear"/>
            <w:vAlign w:val="center"/>
          </w:tcPr>
          <w:p>
            <w:pPr>
              <w:pStyle w:val="TableContents"/>
              <w:bidi w:val="0"/>
              <w:spacing w:before="0" w:after="283"/>
              <w:jc w:val="right"/>
              <w:rPr>
                <w:color w:val="231F20"/>
              </w:rPr>
            </w:pPr>
            <w:r>
              <w:rPr>
                <w:color w:val="231F20"/>
              </w:rPr>
              <w:t>(1,950</w:t>
            </w:r>
          </w:p>
        </w:tc>
        <w:tc>
          <w:tcPr>
            <w:tcW w:w="95" w:type="dxa"/>
            <w:tcBorders/>
            <w:shd w:fill="FFFFFF" w:val="clear"/>
            <w:vAlign w:val="center"/>
          </w:tcPr>
          <w:p>
            <w:pPr>
              <w:pStyle w:val="TableContents"/>
              <w:bidi w:val="0"/>
              <w:spacing w:before="0" w:after="283"/>
              <w:jc w:val="left"/>
              <w:rPr>
                <w:color w:val="231F20"/>
              </w:rPr>
            </w:pPr>
            <w:r>
              <w:rPr>
                <w:color w:val="231F20"/>
              </w:rPr>
              <w:t>)</w:t>
            </w:r>
          </w:p>
        </w:tc>
        <w:tc>
          <w:tcPr>
            <w:tcW w:w="60" w:type="dxa"/>
            <w:tcBorders/>
            <w:shd w:fill="FFFFFF" w:val="clear"/>
            <w:vAlign w:val="center"/>
          </w:tcPr>
          <w:p>
            <w:pPr>
              <w:pStyle w:val="TableContents"/>
              <w:bidi w:val="0"/>
              <w:spacing w:before="0" w:after="283"/>
              <w:jc w:val="left"/>
              <w:rPr>
                <w:color w:val="231F20"/>
              </w:rPr>
            </w:pPr>
            <w:r>
              <w:rPr>
                <w:color w:val="231F20"/>
              </w:rPr>
              <w:t> </w:t>
            </w:r>
          </w:p>
        </w:tc>
        <w:tc>
          <w:tcPr>
            <w:tcW w:w="141" w:type="dxa"/>
            <w:tcBorders/>
            <w:shd w:fill="FFFFFF" w:val="clear"/>
            <w:vAlign w:val="center"/>
          </w:tcPr>
          <w:p>
            <w:pPr>
              <w:pStyle w:val="TableContents"/>
              <w:bidi w:val="0"/>
              <w:spacing w:before="0" w:after="283"/>
              <w:jc w:val="left"/>
              <w:rPr>
                <w:color w:val="231F20"/>
              </w:rPr>
            </w:pPr>
            <w:r>
              <w:rPr>
                <w:color w:val="231F20"/>
              </w:rPr>
              <w:t> </w:t>
            </w:r>
          </w:p>
        </w:tc>
        <w:tc>
          <w:tcPr>
            <w:tcW w:w="769" w:type="dxa"/>
            <w:tcBorders/>
            <w:shd w:fill="FFFFFF" w:val="clear"/>
            <w:vAlign w:val="center"/>
          </w:tcPr>
          <w:p>
            <w:pPr>
              <w:pStyle w:val="TableContents"/>
              <w:bidi w:val="0"/>
              <w:spacing w:before="0" w:after="283"/>
              <w:jc w:val="right"/>
              <w:rPr>
                <w:color w:val="231F20"/>
              </w:rPr>
            </w:pPr>
            <w:r>
              <w:rPr>
                <w:color w:val="231F20"/>
              </w:rPr>
              <w:t>(1,536</w:t>
            </w:r>
          </w:p>
        </w:tc>
        <w:tc>
          <w:tcPr>
            <w:tcW w:w="114" w:type="dxa"/>
            <w:tcBorders/>
            <w:shd w:fill="FFFFFF" w:val="clear"/>
            <w:vAlign w:val="center"/>
          </w:tcPr>
          <w:p>
            <w:pPr>
              <w:pStyle w:val="TableContents"/>
              <w:bidi w:val="0"/>
              <w:spacing w:before="0" w:after="283"/>
              <w:ind w:left="0" w:right="0" w:hanging="144"/>
              <w:jc w:val="left"/>
              <w:rPr>
                <w:color w:val="231F20"/>
              </w:rPr>
            </w:pPr>
            <w:r>
              <w:rPr>
                <w:color w:val="231F20"/>
              </w:rPr>
              <w:t>)</w:t>
            </w:r>
          </w:p>
        </w:tc>
      </w:tr>
      <w:tr>
        <w:trPr/>
        <w:tc>
          <w:tcPr>
            <w:tcW w:w="8056" w:type="dxa"/>
            <w:tcBorders/>
            <w:shd w:fill="CCEEFF" w:val="clear"/>
            <w:vAlign w:val="center"/>
          </w:tcPr>
          <w:p>
            <w:pPr>
              <w:pStyle w:val="TableContents"/>
              <w:bidi w:val="0"/>
              <w:spacing w:before="0" w:after="283"/>
              <w:jc w:val="left"/>
              <w:rPr>
                <w:color w:val="231F20"/>
                <w:sz w:val="20"/>
              </w:rPr>
            </w:pPr>
            <w:r>
              <w:rPr>
                <w:color w:val="231F20"/>
                <w:sz w:val="20"/>
              </w:rPr>
              <w:t>Proceeds from asset disposition</w:t>
            </w:r>
          </w:p>
        </w:tc>
        <w:tc>
          <w:tcPr>
            <w:tcW w:w="60" w:type="dxa"/>
            <w:tcBorders/>
            <w:shd w:fill="CCEEFF" w:val="clear"/>
            <w:vAlign w:val="center"/>
          </w:tcPr>
          <w:p>
            <w:pPr>
              <w:pStyle w:val="TableContents"/>
              <w:bidi w:val="0"/>
              <w:spacing w:before="0" w:after="283"/>
              <w:jc w:val="left"/>
              <w:rPr>
                <w:color w:val="231F20"/>
              </w:rPr>
            </w:pPr>
            <w:r>
              <w:rPr>
                <w:color w:val="231F20"/>
              </w:rPr>
              <w:t> </w:t>
            </w:r>
          </w:p>
        </w:tc>
        <w:tc>
          <w:tcPr>
            <w:tcW w:w="141" w:type="dxa"/>
            <w:tcBorders>
              <w:bottom w:val="single" w:sz="8" w:space="0" w:color="000000"/>
            </w:tcBorders>
            <w:shd w:fill="CCEEFF" w:val="clear"/>
            <w:tcMar>
              <w:bottom w:w="28" w:type="dxa"/>
            </w:tcMar>
            <w:vAlign w:val="center"/>
          </w:tcPr>
          <w:p>
            <w:pPr>
              <w:pStyle w:val="TableContents"/>
              <w:bidi w:val="0"/>
              <w:spacing w:before="0" w:after="283"/>
              <w:jc w:val="left"/>
              <w:rPr>
                <w:color w:val="231F20"/>
              </w:rPr>
            </w:pPr>
            <w:r>
              <w:rPr>
                <w:color w:val="231F20"/>
              </w:rPr>
              <w:t> </w:t>
            </w:r>
          </w:p>
        </w:tc>
        <w:tc>
          <w:tcPr>
            <w:tcW w:w="769" w:type="dxa"/>
            <w:tcBorders>
              <w:bottom w:val="single" w:sz="8" w:space="0" w:color="000000"/>
            </w:tcBorders>
            <w:shd w:fill="CCEEFF" w:val="clear"/>
            <w:tcMar>
              <w:bottom w:w="28" w:type="dxa"/>
            </w:tcMar>
            <w:vAlign w:val="center"/>
          </w:tcPr>
          <w:p>
            <w:pPr>
              <w:pStyle w:val="TableContents"/>
              <w:bidi w:val="0"/>
              <w:spacing w:before="0" w:after="283"/>
              <w:jc w:val="right"/>
              <w:rPr>
                <w:color w:val="231F20"/>
              </w:rPr>
            </w:pPr>
            <w:r>
              <w:rPr>
                <w:color w:val="231F20"/>
              </w:rPr>
              <w:t>—</w:t>
            </w:r>
          </w:p>
        </w:tc>
        <w:tc>
          <w:tcPr>
            <w:tcW w:w="95" w:type="dxa"/>
            <w:tcBorders/>
            <w:shd w:fill="CCEEFF" w:val="clear"/>
            <w:vAlign w:val="center"/>
          </w:tcPr>
          <w:p>
            <w:pPr>
              <w:pStyle w:val="TableContents"/>
              <w:bidi w:val="0"/>
              <w:spacing w:before="0" w:after="283"/>
              <w:jc w:val="left"/>
              <w:rPr>
                <w:color w:val="231F20"/>
              </w:rPr>
            </w:pPr>
            <w:r>
              <w:rPr>
                <w:color w:val="231F20"/>
              </w:rPr>
              <w:t> </w:t>
            </w:r>
          </w:p>
        </w:tc>
        <w:tc>
          <w:tcPr>
            <w:tcW w:w="60" w:type="dxa"/>
            <w:tcBorders/>
            <w:shd w:fill="CCEEFF" w:val="clear"/>
            <w:vAlign w:val="center"/>
          </w:tcPr>
          <w:p>
            <w:pPr>
              <w:pStyle w:val="TableContents"/>
              <w:bidi w:val="0"/>
              <w:spacing w:before="0" w:after="283"/>
              <w:jc w:val="left"/>
              <w:rPr>
                <w:color w:val="231F20"/>
              </w:rPr>
            </w:pPr>
            <w:r>
              <w:rPr>
                <w:color w:val="231F20"/>
              </w:rPr>
              <w:t> </w:t>
            </w:r>
          </w:p>
        </w:tc>
        <w:tc>
          <w:tcPr>
            <w:tcW w:w="141" w:type="dxa"/>
            <w:tcBorders>
              <w:bottom w:val="single" w:sz="8" w:space="0" w:color="000000"/>
            </w:tcBorders>
            <w:shd w:fill="CCEEFF" w:val="clear"/>
            <w:tcMar>
              <w:bottom w:w="28" w:type="dxa"/>
            </w:tcMar>
            <w:vAlign w:val="center"/>
          </w:tcPr>
          <w:p>
            <w:pPr>
              <w:pStyle w:val="TableContents"/>
              <w:bidi w:val="0"/>
              <w:spacing w:before="0" w:after="283"/>
              <w:jc w:val="left"/>
              <w:rPr>
                <w:color w:val="231F20"/>
              </w:rPr>
            </w:pPr>
            <w:r>
              <w:rPr>
                <w:color w:val="231F20"/>
              </w:rPr>
              <w:t> </w:t>
            </w:r>
          </w:p>
        </w:tc>
        <w:tc>
          <w:tcPr>
            <w:tcW w:w="769" w:type="dxa"/>
            <w:tcBorders>
              <w:bottom w:val="single" w:sz="8" w:space="0" w:color="000000"/>
            </w:tcBorders>
            <w:shd w:fill="CCEEFF" w:val="clear"/>
            <w:tcMar>
              <w:bottom w:w="28" w:type="dxa"/>
            </w:tcMar>
            <w:vAlign w:val="center"/>
          </w:tcPr>
          <w:p>
            <w:pPr>
              <w:pStyle w:val="TableContents"/>
              <w:bidi w:val="0"/>
              <w:spacing w:before="0" w:after="283"/>
              <w:jc w:val="right"/>
              <w:rPr>
                <w:color w:val="231F20"/>
              </w:rPr>
            </w:pPr>
            <w:r>
              <w:rPr>
                <w:color w:val="231F20"/>
              </w:rPr>
              <w:t>126</w:t>
            </w:r>
          </w:p>
        </w:tc>
        <w:tc>
          <w:tcPr>
            <w:tcW w:w="114" w:type="dxa"/>
            <w:tcBorders/>
            <w:shd w:fill="CCEEFF" w:val="clear"/>
            <w:vAlign w:val="center"/>
          </w:tcPr>
          <w:p>
            <w:pPr>
              <w:pStyle w:val="TableContents"/>
              <w:bidi w:val="0"/>
              <w:spacing w:before="0" w:after="283"/>
              <w:jc w:val="left"/>
              <w:rPr>
                <w:color w:val="231F20"/>
              </w:rPr>
            </w:pPr>
            <w:r>
              <w:rPr>
                <w:color w:val="231F20"/>
              </w:rPr>
              <w:t> </w:t>
            </w:r>
          </w:p>
        </w:tc>
      </w:tr>
      <w:tr>
        <w:trPr/>
        <w:tc>
          <w:tcPr>
            <w:tcW w:w="8056" w:type="dxa"/>
            <w:tcBorders/>
            <w:shd w:fill="FFFFFF" w:val="clear"/>
            <w:vAlign w:val="center"/>
          </w:tcPr>
          <w:p>
            <w:pPr>
              <w:pStyle w:val="TableContents"/>
              <w:bidi w:val="0"/>
              <w:spacing w:before="0" w:after="283"/>
              <w:jc w:val="left"/>
              <w:rPr>
                <w:b/>
                <w:sz w:val="20"/>
              </w:rPr>
            </w:pPr>
            <w:r>
              <w:rPr>
                <w:b/>
                <w:sz w:val="20"/>
              </w:rPr>
              <w:t>Net cash and cash equivalents used in investing activities</w:t>
            </w:r>
          </w:p>
        </w:tc>
        <w:tc>
          <w:tcPr>
            <w:tcW w:w="60" w:type="dxa"/>
            <w:tcBorders/>
            <w:shd w:fill="FFFFFF" w:val="clear"/>
            <w:vAlign w:val="center"/>
          </w:tcPr>
          <w:p>
            <w:pPr>
              <w:pStyle w:val="TableContents"/>
              <w:bidi w:val="0"/>
              <w:spacing w:before="0" w:after="283"/>
              <w:jc w:val="left"/>
              <w:rPr>
                <w:color w:val="231F20"/>
              </w:rPr>
            </w:pPr>
            <w:r>
              <w:rPr>
                <w:color w:val="231F20"/>
              </w:rPr>
              <w:t> </w:t>
            </w:r>
          </w:p>
        </w:tc>
        <w:tc>
          <w:tcPr>
            <w:tcW w:w="141" w:type="dxa"/>
            <w:tcBorders/>
            <w:shd w:fill="FFFFFF" w:val="clear"/>
            <w:vAlign w:val="center"/>
          </w:tcPr>
          <w:p>
            <w:pPr>
              <w:pStyle w:val="TableContents"/>
              <w:bidi w:val="0"/>
              <w:spacing w:before="0" w:after="283"/>
              <w:jc w:val="left"/>
              <w:rPr>
                <w:color w:val="231F20"/>
              </w:rPr>
            </w:pPr>
            <w:r>
              <w:rPr>
                <w:color w:val="231F20"/>
              </w:rPr>
              <w:t> </w:t>
            </w:r>
          </w:p>
        </w:tc>
        <w:tc>
          <w:tcPr>
            <w:tcW w:w="769" w:type="dxa"/>
            <w:tcBorders/>
            <w:shd w:fill="FFFFFF" w:val="clear"/>
            <w:vAlign w:val="center"/>
          </w:tcPr>
          <w:p>
            <w:pPr>
              <w:pStyle w:val="TableContents"/>
              <w:bidi w:val="0"/>
              <w:spacing w:before="0" w:after="283"/>
              <w:jc w:val="right"/>
              <w:rPr>
                <w:color w:val="231F20"/>
              </w:rPr>
            </w:pPr>
            <w:r>
              <w:rPr>
                <w:color w:val="231F20"/>
              </w:rPr>
              <w:t>(1,950</w:t>
            </w:r>
          </w:p>
        </w:tc>
        <w:tc>
          <w:tcPr>
            <w:tcW w:w="95" w:type="dxa"/>
            <w:tcBorders/>
            <w:shd w:fill="FFFFFF" w:val="clear"/>
            <w:vAlign w:val="center"/>
          </w:tcPr>
          <w:p>
            <w:pPr>
              <w:pStyle w:val="TableContents"/>
              <w:bidi w:val="0"/>
              <w:spacing w:before="0" w:after="283"/>
              <w:jc w:val="left"/>
              <w:rPr>
                <w:color w:val="231F20"/>
              </w:rPr>
            </w:pPr>
            <w:r>
              <w:rPr>
                <w:color w:val="231F20"/>
              </w:rPr>
              <w:t>)</w:t>
            </w:r>
          </w:p>
        </w:tc>
        <w:tc>
          <w:tcPr>
            <w:tcW w:w="60" w:type="dxa"/>
            <w:tcBorders/>
            <w:shd w:fill="FFFFFF" w:val="clear"/>
            <w:vAlign w:val="center"/>
          </w:tcPr>
          <w:p>
            <w:pPr>
              <w:pStyle w:val="TableContents"/>
              <w:bidi w:val="0"/>
              <w:spacing w:before="0" w:after="283"/>
              <w:jc w:val="left"/>
              <w:rPr>
                <w:color w:val="231F20"/>
              </w:rPr>
            </w:pPr>
            <w:r>
              <w:rPr>
                <w:color w:val="231F20"/>
              </w:rPr>
              <w:t> </w:t>
            </w:r>
          </w:p>
        </w:tc>
        <w:tc>
          <w:tcPr>
            <w:tcW w:w="141" w:type="dxa"/>
            <w:tcBorders/>
            <w:shd w:fill="FFFFFF" w:val="clear"/>
            <w:vAlign w:val="center"/>
          </w:tcPr>
          <w:p>
            <w:pPr>
              <w:pStyle w:val="TableContents"/>
              <w:bidi w:val="0"/>
              <w:spacing w:before="0" w:after="283"/>
              <w:jc w:val="left"/>
              <w:rPr>
                <w:color w:val="231F20"/>
              </w:rPr>
            </w:pPr>
            <w:r>
              <w:rPr>
                <w:color w:val="231F20"/>
              </w:rPr>
              <w:t> </w:t>
            </w:r>
          </w:p>
        </w:tc>
        <w:tc>
          <w:tcPr>
            <w:tcW w:w="769" w:type="dxa"/>
            <w:tcBorders/>
            <w:shd w:fill="FFFFFF" w:val="clear"/>
            <w:vAlign w:val="center"/>
          </w:tcPr>
          <w:p>
            <w:pPr>
              <w:pStyle w:val="TableContents"/>
              <w:bidi w:val="0"/>
              <w:spacing w:before="0" w:after="283"/>
              <w:jc w:val="right"/>
              <w:rPr>
                <w:color w:val="231F20"/>
              </w:rPr>
            </w:pPr>
            <w:r>
              <w:rPr>
                <w:color w:val="231F20"/>
              </w:rPr>
              <w:t>(1,410</w:t>
            </w:r>
          </w:p>
        </w:tc>
        <w:tc>
          <w:tcPr>
            <w:tcW w:w="114" w:type="dxa"/>
            <w:tcBorders/>
            <w:shd w:fill="FFFFFF" w:val="clear"/>
            <w:vAlign w:val="center"/>
          </w:tcPr>
          <w:p>
            <w:pPr>
              <w:pStyle w:val="TableContents"/>
              <w:bidi w:val="0"/>
              <w:spacing w:before="0" w:after="283"/>
              <w:jc w:val="left"/>
              <w:rPr>
                <w:color w:val="231F20"/>
              </w:rPr>
            </w:pPr>
            <w:r>
              <w:rPr>
                <w:color w:val="231F20"/>
              </w:rPr>
              <w:t>)</w:t>
            </w:r>
          </w:p>
        </w:tc>
      </w:tr>
      <w:tr>
        <w:trPr/>
        <w:tc>
          <w:tcPr>
            <w:tcW w:w="8056" w:type="dxa"/>
            <w:tcBorders/>
            <w:shd w:fill="CCEEFF" w:val="clear"/>
            <w:vAlign w:val="center"/>
          </w:tcPr>
          <w:p>
            <w:pPr>
              <w:pStyle w:val="TableContents"/>
              <w:bidi w:val="0"/>
              <w:spacing w:before="0" w:after="283"/>
              <w:jc w:val="left"/>
              <w:rPr>
                <w:color w:val="231F20"/>
                <w:sz w:val="20"/>
              </w:rPr>
            </w:pPr>
            <w:r>
              <w:rPr>
                <w:color w:val="231F20"/>
                <w:sz w:val="20"/>
              </w:rPr>
              <w:t>Cash flows from financing activities:</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769"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769" w:type="dxa"/>
            <w:tcBorders/>
            <w:shd w:fill="CCEEFF" w:val="clear"/>
            <w:vAlign w:val="center"/>
          </w:tcPr>
          <w:p>
            <w:pPr>
              <w:pStyle w:val="TableContents"/>
              <w:bidi w:val="0"/>
              <w:spacing w:before="0" w:after="283"/>
              <w:jc w:val="right"/>
              <w:rPr/>
            </w:pPr>
            <w:r>
              <w:rPr/>
              <w:t> </w:t>
            </w:r>
          </w:p>
        </w:tc>
        <w:tc>
          <w:tcPr>
            <w:tcW w:w="114" w:type="dxa"/>
            <w:tcBorders/>
            <w:shd w:fill="CCEEFF" w:val="clear"/>
            <w:vAlign w:val="center"/>
          </w:tcPr>
          <w:p>
            <w:pPr>
              <w:pStyle w:val="TableContents"/>
              <w:bidi w:val="0"/>
              <w:spacing w:before="0" w:after="283"/>
              <w:ind w:left="0" w:right="0" w:hanging="144"/>
              <w:jc w:val="left"/>
              <w:rPr/>
            </w:pPr>
            <w:r>
              <w:rPr/>
              <w:t> </w:t>
            </w:r>
          </w:p>
        </w:tc>
      </w:tr>
      <w:tr>
        <w:trPr/>
        <w:tc>
          <w:tcPr>
            <w:tcW w:w="8056" w:type="dxa"/>
            <w:tcBorders/>
            <w:shd w:fill="FFFFFF" w:val="clear"/>
            <w:vAlign w:val="center"/>
          </w:tcPr>
          <w:p>
            <w:pPr>
              <w:pStyle w:val="TableContents"/>
              <w:bidi w:val="0"/>
              <w:spacing w:before="0" w:after="283"/>
              <w:jc w:val="left"/>
              <w:rPr>
                <w:color w:val="231F20"/>
                <w:sz w:val="20"/>
              </w:rPr>
            </w:pPr>
            <w:r>
              <w:rPr>
                <w:color w:val="231F20"/>
                <w:sz w:val="20"/>
              </w:rPr>
              <w:t>Proceeds from private placement, net of offering costs</w:t>
            </w:r>
          </w:p>
        </w:tc>
        <w:tc>
          <w:tcPr>
            <w:tcW w:w="60" w:type="dxa"/>
            <w:tcBorders/>
            <w:shd w:fill="FFFFFF" w:val="clear"/>
            <w:vAlign w:val="center"/>
          </w:tcPr>
          <w:p>
            <w:pPr>
              <w:pStyle w:val="TableContents"/>
              <w:bidi w:val="0"/>
              <w:spacing w:before="0" w:after="283"/>
              <w:jc w:val="left"/>
              <w:rPr>
                <w:color w:val="231F20"/>
              </w:rPr>
            </w:pPr>
            <w:r>
              <w:rPr>
                <w:color w:val="231F20"/>
              </w:rPr>
              <w:t> </w:t>
            </w:r>
          </w:p>
        </w:tc>
        <w:tc>
          <w:tcPr>
            <w:tcW w:w="141" w:type="dxa"/>
            <w:tcBorders/>
            <w:shd w:fill="FFFFFF" w:val="clear"/>
            <w:vAlign w:val="center"/>
          </w:tcPr>
          <w:p>
            <w:pPr>
              <w:pStyle w:val="TableContents"/>
              <w:bidi w:val="0"/>
              <w:spacing w:before="0" w:after="283"/>
              <w:jc w:val="left"/>
              <w:rPr>
                <w:color w:val="231F20"/>
              </w:rPr>
            </w:pPr>
            <w:r>
              <w:rPr>
                <w:color w:val="231F20"/>
              </w:rPr>
              <w:t> </w:t>
            </w:r>
          </w:p>
        </w:tc>
        <w:tc>
          <w:tcPr>
            <w:tcW w:w="769" w:type="dxa"/>
            <w:tcBorders/>
            <w:shd w:fill="FFFFFF" w:val="clear"/>
            <w:vAlign w:val="center"/>
          </w:tcPr>
          <w:p>
            <w:pPr>
              <w:pStyle w:val="TableContents"/>
              <w:bidi w:val="0"/>
              <w:spacing w:before="0" w:after="283"/>
              <w:jc w:val="right"/>
              <w:rPr>
                <w:color w:val="231F20"/>
              </w:rPr>
            </w:pPr>
            <w:r>
              <w:rPr>
                <w:color w:val="231F20"/>
              </w:rPr>
              <w:t>—</w:t>
            </w:r>
          </w:p>
        </w:tc>
        <w:tc>
          <w:tcPr>
            <w:tcW w:w="95" w:type="dxa"/>
            <w:tcBorders/>
            <w:shd w:fill="FFFFFF" w:val="clear"/>
            <w:vAlign w:val="center"/>
          </w:tcPr>
          <w:p>
            <w:pPr>
              <w:pStyle w:val="TableContents"/>
              <w:bidi w:val="0"/>
              <w:spacing w:before="0" w:after="283"/>
              <w:jc w:val="left"/>
              <w:rPr>
                <w:color w:val="231F20"/>
              </w:rPr>
            </w:pPr>
            <w:r>
              <w:rPr>
                <w:color w:val="231F20"/>
              </w:rPr>
              <w:t> </w:t>
            </w:r>
          </w:p>
        </w:tc>
        <w:tc>
          <w:tcPr>
            <w:tcW w:w="60" w:type="dxa"/>
            <w:tcBorders/>
            <w:shd w:fill="FFFFFF" w:val="clear"/>
            <w:vAlign w:val="center"/>
          </w:tcPr>
          <w:p>
            <w:pPr>
              <w:pStyle w:val="TableContents"/>
              <w:bidi w:val="0"/>
              <w:spacing w:before="0" w:after="283"/>
              <w:jc w:val="left"/>
              <w:rPr>
                <w:color w:val="231F20"/>
              </w:rPr>
            </w:pPr>
            <w:r>
              <w:rPr>
                <w:color w:val="231F20"/>
              </w:rPr>
              <w:t> </w:t>
            </w:r>
          </w:p>
        </w:tc>
        <w:tc>
          <w:tcPr>
            <w:tcW w:w="141" w:type="dxa"/>
            <w:tcBorders/>
            <w:shd w:fill="FFFFFF" w:val="clear"/>
            <w:vAlign w:val="center"/>
          </w:tcPr>
          <w:p>
            <w:pPr>
              <w:pStyle w:val="TableContents"/>
              <w:bidi w:val="0"/>
              <w:spacing w:before="0" w:after="283"/>
              <w:jc w:val="left"/>
              <w:rPr>
                <w:color w:val="231F20"/>
              </w:rPr>
            </w:pPr>
            <w:r>
              <w:rPr>
                <w:color w:val="231F20"/>
              </w:rPr>
              <w:t> </w:t>
            </w:r>
          </w:p>
        </w:tc>
        <w:tc>
          <w:tcPr>
            <w:tcW w:w="769" w:type="dxa"/>
            <w:tcBorders/>
            <w:shd w:fill="FFFFFF" w:val="clear"/>
            <w:vAlign w:val="center"/>
          </w:tcPr>
          <w:p>
            <w:pPr>
              <w:pStyle w:val="TableContents"/>
              <w:bidi w:val="0"/>
              <w:spacing w:before="0" w:after="283"/>
              <w:jc w:val="right"/>
              <w:rPr>
                <w:color w:val="231F20"/>
              </w:rPr>
            </w:pPr>
            <w:r>
              <w:rPr>
                <w:color w:val="231F20"/>
              </w:rPr>
              <w:t>15,359</w:t>
            </w:r>
          </w:p>
        </w:tc>
        <w:tc>
          <w:tcPr>
            <w:tcW w:w="114" w:type="dxa"/>
            <w:tcBorders/>
            <w:shd w:fill="FFFFFF" w:val="clear"/>
            <w:vAlign w:val="center"/>
          </w:tcPr>
          <w:p>
            <w:pPr>
              <w:pStyle w:val="TableContents"/>
              <w:bidi w:val="0"/>
              <w:spacing w:before="0" w:after="283"/>
              <w:ind w:left="0" w:right="0" w:hanging="144"/>
              <w:jc w:val="left"/>
              <w:rPr>
                <w:color w:val="231F20"/>
              </w:rPr>
            </w:pPr>
            <w:r>
              <w:rPr>
                <w:color w:val="231F20"/>
              </w:rPr>
              <w:t> </w:t>
            </w:r>
          </w:p>
        </w:tc>
      </w:tr>
      <w:tr>
        <w:trPr/>
        <w:tc>
          <w:tcPr>
            <w:tcW w:w="8056" w:type="dxa"/>
            <w:tcBorders/>
            <w:shd w:fill="CCEEFF" w:val="clear"/>
            <w:vAlign w:val="center"/>
          </w:tcPr>
          <w:p>
            <w:pPr>
              <w:pStyle w:val="TableContents"/>
              <w:bidi w:val="0"/>
              <w:spacing w:before="0" w:after="283"/>
              <w:jc w:val="left"/>
              <w:rPr>
                <w:color w:val="231F20"/>
                <w:sz w:val="20"/>
              </w:rPr>
            </w:pPr>
            <w:r>
              <w:rPr>
                <w:color w:val="231F20"/>
                <w:sz w:val="20"/>
              </w:rPr>
              <w:t>Proceeds from employee stock purchase plan</w:t>
            </w:r>
          </w:p>
        </w:tc>
        <w:tc>
          <w:tcPr>
            <w:tcW w:w="60" w:type="dxa"/>
            <w:tcBorders/>
            <w:shd w:fill="CCEEFF" w:val="clear"/>
            <w:vAlign w:val="center"/>
          </w:tcPr>
          <w:p>
            <w:pPr>
              <w:pStyle w:val="TableContents"/>
              <w:bidi w:val="0"/>
              <w:spacing w:before="0" w:after="283"/>
              <w:jc w:val="left"/>
              <w:rPr>
                <w:color w:val="231F20"/>
              </w:rPr>
            </w:pPr>
            <w:r>
              <w:rPr>
                <w:color w:val="231F20"/>
              </w:rPr>
              <w:t> </w:t>
            </w:r>
          </w:p>
        </w:tc>
        <w:tc>
          <w:tcPr>
            <w:tcW w:w="141" w:type="dxa"/>
            <w:tcBorders/>
            <w:shd w:fill="CCEEFF" w:val="clear"/>
            <w:vAlign w:val="center"/>
          </w:tcPr>
          <w:p>
            <w:pPr>
              <w:pStyle w:val="TableContents"/>
              <w:bidi w:val="0"/>
              <w:spacing w:before="0" w:after="283"/>
              <w:jc w:val="left"/>
              <w:rPr>
                <w:color w:val="231F20"/>
              </w:rPr>
            </w:pPr>
            <w:r>
              <w:rPr>
                <w:color w:val="231F20"/>
              </w:rPr>
              <w:t> </w:t>
            </w:r>
          </w:p>
        </w:tc>
        <w:tc>
          <w:tcPr>
            <w:tcW w:w="769" w:type="dxa"/>
            <w:tcBorders/>
            <w:shd w:fill="CCEEFF" w:val="clear"/>
            <w:vAlign w:val="center"/>
          </w:tcPr>
          <w:p>
            <w:pPr>
              <w:pStyle w:val="TableContents"/>
              <w:bidi w:val="0"/>
              <w:spacing w:before="0" w:after="283"/>
              <w:jc w:val="right"/>
              <w:rPr>
                <w:color w:val="231F20"/>
              </w:rPr>
            </w:pPr>
            <w:r>
              <w:rPr>
                <w:color w:val="231F20"/>
              </w:rPr>
              <w:t>220</w:t>
            </w:r>
          </w:p>
        </w:tc>
        <w:tc>
          <w:tcPr>
            <w:tcW w:w="95" w:type="dxa"/>
            <w:tcBorders/>
            <w:shd w:fill="CCEEFF" w:val="clear"/>
            <w:vAlign w:val="center"/>
          </w:tcPr>
          <w:p>
            <w:pPr>
              <w:pStyle w:val="TableContents"/>
              <w:bidi w:val="0"/>
              <w:spacing w:before="0" w:after="283"/>
              <w:jc w:val="left"/>
              <w:rPr>
                <w:color w:val="231F20"/>
              </w:rPr>
            </w:pPr>
            <w:r>
              <w:rPr>
                <w:color w:val="231F20"/>
              </w:rPr>
              <w:t> </w:t>
            </w:r>
          </w:p>
        </w:tc>
        <w:tc>
          <w:tcPr>
            <w:tcW w:w="60" w:type="dxa"/>
            <w:tcBorders/>
            <w:shd w:fill="CCEEFF" w:val="clear"/>
            <w:vAlign w:val="center"/>
          </w:tcPr>
          <w:p>
            <w:pPr>
              <w:pStyle w:val="TableContents"/>
              <w:bidi w:val="0"/>
              <w:spacing w:before="0" w:after="283"/>
              <w:jc w:val="left"/>
              <w:rPr>
                <w:color w:val="231F20"/>
              </w:rPr>
            </w:pPr>
            <w:r>
              <w:rPr>
                <w:color w:val="231F20"/>
              </w:rPr>
              <w:t> </w:t>
            </w:r>
          </w:p>
        </w:tc>
        <w:tc>
          <w:tcPr>
            <w:tcW w:w="141" w:type="dxa"/>
            <w:tcBorders/>
            <w:shd w:fill="CCEEFF" w:val="clear"/>
            <w:vAlign w:val="center"/>
          </w:tcPr>
          <w:p>
            <w:pPr>
              <w:pStyle w:val="TableContents"/>
              <w:bidi w:val="0"/>
              <w:spacing w:before="0" w:after="283"/>
              <w:jc w:val="left"/>
              <w:rPr>
                <w:color w:val="231F20"/>
              </w:rPr>
            </w:pPr>
            <w:r>
              <w:rPr>
                <w:color w:val="231F20"/>
              </w:rPr>
              <w:t> </w:t>
            </w:r>
          </w:p>
        </w:tc>
        <w:tc>
          <w:tcPr>
            <w:tcW w:w="769" w:type="dxa"/>
            <w:tcBorders/>
            <w:shd w:fill="CCEEFF" w:val="clear"/>
            <w:vAlign w:val="center"/>
          </w:tcPr>
          <w:p>
            <w:pPr>
              <w:pStyle w:val="TableContents"/>
              <w:bidi w:val="0"/>
              <w:spacing w:before="0" w:after="283"/>
              <w:jc w:val="right"/>
              <w:rPr>
                <w:color w:val="231F20"/>
              </w:rPr>
            </w:pPr>
            <w:r>
              <w:rPr>
                <w:color w:val="231F20"/>
              </w:rPr>
              <w:t>—</w:t>
            </w:r>
          </w:p>
        </w:tc>
        <w:tc>
          <w:tcPr>
            <w:tcW w:w="114" w:type="dxa"/>
            <w:tcBorders/>
            <w:shd w:fill="CCEEFF" w:val="clear"/>
            <w:vAlign w:val="center"/>
          </w:tcPr>
          <w:p>
            <w:pPr>
              <w:pStyle w:val="TableContents"/>
              <w:bidi w:val="0"/>
              <w:spacing w:before="0" w:after="283"/>
              <w:ind w:left="0" w:right="0" w:hanging="144"/>
              <w:jc w:val="left"/>
              <w:rPr>
                <w:color w:val="231F20"/>
              </w:rPr>
            </w:pPr>
            <w:r>
              <w:rPr>
                <w:color w:val="231F20"/>
              </w:rPr>
              <w:t> </w:t>
            </w:r>
          </w:p>
        </w:tc>
      </w:tr>
      <w:tr>
        <w:trPr/>
        <w:tc>
          <w:tcPr>
            <w:tcW w:w="8056" w:type="dxa"/>
            <w:tcBorders/>
            <w:shd w:fill="FFFFFF" w:val="clear"/>
            <w:vAlign w:val="center"/>
          </w:tcPr>
          <w:p>
            <w:pPr>
              <w:pStyle w:val="TableContents"/>
              <w:bidi w:val="0"/>
              <w:spacing w:before="0" w:after="283"/>
              <w:jc w:val="left"/>
              <w:rPr>
                <w:color w:val="231F20"/>
                <w:sz w:val="20"/>
              </w:rPr>
            </w:pPr>
            <w:r>
              <w:rPr>
                <w:color w:val="231F20"/>
                <w:sz w:val="20"/>
              </w:rPr>
              <w:t>Payments made for financing of insurance payments</w:t>
            </w:r>
          </w:p>
        </w:tc>
        <w:tc>
          <w:tcPr>
            <w:tcW w:w="60" w:type="dxa"/>
            <w:tcBorders/>
            <w:shd w:fill="FFFFFF" w:val="clear"/>
            <w:vAlign w:val="center"/>
          </w:tcPr>
          <w:p>
            <w:pPr>
              <w:pStyle w:val="TableContents"/>
              <w:bidi w:val="0"/>
              <w:spacing w:before="0" w:after="283"/>
              <w:jc w:val="left"/>
              <w:rPr>
                <w:color w:val="231F20"/>
              </w:rPr>
            </w:pPr>
            <w:r>
              <w:rPr>
                <w:color w:val="231F20"/>
              </w:rPr>
              <w:t> </w:t>
            </w:r>
          </w:p>
        </w:tc>
        <w:tc>
          <w:tcPr>
            <w:tcW w:w="141" w:type="dxa"/>
            <w:tcBorders/>
            <w:shd w:fill="FFFFFF" w:val="clear"/>
            <w:vAlign w:val="center"/>
          </w:tcPr>
          <w:p>
            <w:pPr>
              <w:pStyle w:val="TableContents"/>
              <w:bidi w:val="0"/>
              <w:spacing w:before="0" w:after="283"/>
              <w:jc w:val="left"/>
              <w:rPr>
                <w:color w:val="231F20"/>
              </w:rPr>
            </w:pPr>
            <w:r>
              <w:rPr>
                <w:color w:val="231F20"/>
              </w:rPr>
              <w:t> </w:t>
            </w:r>
          </w:p>
        </w:tc>
        <w:tc>
          <w:tcPr>
            <w:tcW w:w="769" w:type="dxa"/>
            <w:tcBorders/>
            <w:shd w:fill="FFFFFF" w:val="clear"/>
            <w:vAlign w:val="center"/>
          </w:tcPr>
          <w:p>
            <w:pPr>
              <w:pStyle w:val="TableContents"/>
              <w:bidi w:val="0"/>
              <w:spacing w:before="0" w:after="283"/>
              <w:jc w:val="right"/>
              <w:rPr>
                <w:color w:val="231F20"/>
              </w:rPr>
            </w:pPr>
            <w:r>
              <w:rPr>
                <w:color w:val="231F20"/>
              </w:rPr>
              <w:t>(560</w:t>
            </w:r>
          </w:p>
        </w:tc>
        <w:tc>
          <w:tcPr>
            <w:tcW w:w="95" w:type="dxa"/>
            <w:tcBorders/>
            <w:shd w:fill="FFFFFF" w:val="clear"/>
            <w:vAlign w:val="center"/>
          </w:tcPr>
          <w:p>
            <w:pPr>
              <w:pStyle w:val="TableContents"/>
              <w:bidi w:val="0"/>
              <w:spacing w:before="0" w:after="283"/>
              <w:jc w:val="left"/>
              <w:rPr>
                <w:color w:val="231F20"/>
              </w:rPr>
            </w:pPr>
            <w:r>
              <w:rPr>
                <w:color w:val="231F20"/>
              </w:rPr>
              <w:t>)</w:t>
            </w:r>
          </w:p>
        </w:tc>
        <w:tc>
          <w:tcPr>
            <w:tcW w:w="60" w:type="dxa"/>
            <w:tcBorders/>
            <w:shd w:fill="FFFFFF" w:val="clear"/>
            <w:vAlign w:val="center"/>
          </w:tcPr>
          <w:p>
            <w:pPr>
              <w:pStyle w:val="TableContents"/>
              <w:bidi w:val="0"/>
              <w:spacing w:before="0" w:after="283"/>
              <w:jc w:val="left"/>
              <w:rPr>
                <w:color w:val="231F20"/>
              </w:rPr>
            </w:pPr>
            <w:r>
              <w:rPr>
                <w:color w:val="231F20"/>
              </w:rPr>
              <w:t> </w:t>
            </w:r>
          </w:p>
        </w:tc>
        <w:tc>
          <w:tcPr>
            <w:tcW w:w="141" w:type="dxa"/>
            <w:tcBorders/>
            <w:shd w:fill="FFFFFF" w:val="clear"/>
            <w:vAlign w:val="center"/>
          </w:tcPr>
          <w:p>
            <w:pPr>
              <w:pStyle w:val="TableContents"/>
              <w:bidi w:val="0"/>
              <w:spacing w:before="0" w:after="283"/>
              <w:jc w:val="left"/>
              <w:rPr>
                <w:color w:val="231F20"/>
              </w:rPr>
            </w:pPr>
            <w:r>
              <w:rPr>
                <w:color w:val="231F20"/>
              </w:rPr>
              <w:t> </w:t>
            </w:r>
          </w:p>
        </w:tc>
        <w:tc>
          <w:tcPr>
            <w:tcW w:w="769" w:type="dxa"/>
            <w:tcBorders/>
            <w:shd w:fill="FFFFFF" w:val="clear"/>
            <w:vAlign w:val="center"/>
          </w:tcPr>
          <w:p>
            <w:pPr>
              <w:pStyle w:val="TableContents"/>
              <w:bidi w:val="0"/>
              <w:spacing w:before="0" w:after="283"/>
              <w:jc w:val="right"/>
              <w:rPr>
                <w:color w:val="231F20"/>
              </w:rPr>
            </w:pPr>
            <w:r>
              <w:rPr>
                <w:color w:val="231F20"/>
              </w:rPr>
              <w:t>(456</w:t>
            </w:r>
          </w:p>
        </w:tc>
        <w:tc>
          <w:tcPr>
            <w:tcW w:w="114" w:type="dxa"/>
            <w:tcBorders/>
            <w:shd w:fill="FFFFFF" w:val="clear"/>
            <w:vAlign w:val="center"/>
          </w:tcPr>
          <w:p>
            <w:pPr>
              <w:pStyle w:val="TableContents"/>
              <w:bidi w:val="0"/>
              <w:spacing w:before="0" w:after="283"/>
              <w:ind w:left="0" w:right="0" w:hanging="144"/>
              <w:jc w:val="left"/>
              <w:rPr>
                <w:color w:val="231F20"/>
              </w:rPr>
            </w:pPr>
            <w:r>
              <w:rPr>
                <w:color w:val="231F20"/>
              </w:rPr>
              <w:t>)</w:t>
            </w:r>
          </w:p>
        </w:tc>
      </w:tr>
      <w:tr>
        <w:trPr/>
        <w:tc>
          <w:tcPr>
            <w:tcW w:w="8056" w:type="dxa"/>
            <w:tcBorders/>
            <w:shd w:fill="CCEEFF" w:val="clear"/>
            <w:vAlign w:val="center"/>
          </w:tcPr>
          <w:p>
            <w:pPr>
              <w:pStyle w:val="TableContents"/>
              <w:bidi w:val="0"/>
              <w:spacing w:before="0" w:after="283"/>
              <w:jc w:val="left"/>
              <w:rPr>
                <w:color w:val="231F20"/>
                <w:sz w:val="20"/>
              </w:rPr>
            </w:pPr>
            <w:r>
              <w:rPr>
                <w:color w:val="231F20"/>
                <w:sz w:val="20"/>
              </w:rPr>
              <w:t>Principal payments on long-term debt</w:t>
            </w:r>
          </w:p>
        </w:tc>
        <w:tc>
          <w:tcPr>
            <w:tcW w:w="60" w:type="dxa"/>
            <w:tcBorders/>
            <w:shd w:fill="CCEEFF" w:val="clear"/>
            <w:vAlign w:val="center"/>
          </w:tcPr>
          <w:p>
            <w:pPr>
              <w:pStyle w:val="TableContents"/>
              <w:bidi w:val="0"/>
              <w:spacing w:before="0" w:after="283"/>
              <w:jc w:val="left"/>
              <w:rPr>
                <w:color w:val="231F20"/>
              </w:rPr>
            </w:pPr>
            <w:r>
              <w:rPr>
                <w:color w:val="231F20"/>
              </w:rPr>
              <w:t> </w:t>
            </w:r>
          </w:p>
        </w:tc>
        <w:tc>
          <w:tcPr>
            <w:tcW w:w="141" w:type="dxa"/>
            <w:tcBorders/>
            <w:shd w:fill="CCEEFF" w:val="clear"/>
            <w:vAlign w:val="center"/>
          </w:tcPr>
          <w:p>
            <w:pPr>
              <w:pStyle w:val="TableContents"/>
              <w:bidi w:val="0"/>
              <w:spacing w:before="0" w:after="283"/>
              <w:jc w:val="left"/>
              <w:rPr>
                <w:color w:val="231F20"/>
              </w:rPr>
            </w:pPr>
            <w:r>
              <w:rPr>
                <w:color w:val="231F20"/>
              </w:rPr>
              <w:t> </w:t>
            </w:r>
          </w:p>
        </w:tc>
        <w:tc>
          <w:tcPr>
            <w:tcW w:w="769" w:type="dxa"/>
            <w:tcBorders/>
            <w:shd w:fill="CCEEFF" w:val="clear"/>
            <w:vAlign w:val="center"/>
          </w:tcPr>
          <w:p>
            <w:pPr>
              <w:pStyle w:val="TableContents"/>
              <w:bidi w:val="0"/>
              <w:spacing w:before="0" w:after="283"/>
              <w:jc w:val="right"/>
              <w:rPr>
                <w:color w:val="231F20"/>
              </w:rPr>
            </w:pPr>
            <w:r>
              <w:rPr>
                <w:color w:val="231F20"/>
              </w:rPr>
              <w:t>—</w:t>
            </w:r>
          </w:p>
        </w:tc>
        <w:tc>
          <w:tcPr>
            <w:tcW w:w="95" w:type="dxa"/>
            <w:tcBorders/>
            <w:shd w:fill="CCEEFF" w:val="clear"/>
            <w:vAlign w:val="center"/>
          </w:tcPr>
          <w:p>
            <w:pPr>
              <w:pStyle w:val="TableContents"/>
              <w:bidi w:val="0"/>
              <w:spacing w:before="0" w:after="283"/>
              <w:jc w:val="left"/>
              <w:rPr>
                <w:color w:val="231F20"/>
              </w:rPr>
            </w:pPr>
            <w:r>
              <w:rPr>
                <w:color w:val="231F20"/>
              </w:rPr>
              <w:t> </w:t>
            </w:r>
          </w:p>
        </w:tc>
        <w:tc>
          <w:tcPr>
            <w:tcW w:w="60" w:type="dxa"/>
            <w:tcBorders/>
            <w:shd w:fill="CCEEFF" w:val="clear"/>
            <w:vAlign w:val="center"/>
          </w:tcPr>
          <w:p>
            <w:pPr>
              <w:pStyle w:val="TableContents"/>
              <w:bidi w:val="0"/>
              <w:spacing w:before="0" w:after="283"/>
              <w:jc w:val="left"/>
              <w:rPr>
                <w:color w:val="231F20"/>
              </w:rPr>
            </w:pPr>
            <w:r>
              <w:rPr>
                <w:color w:val="231F20"/>
              </w:rPr>
              <w:t> </w:t>
            </w:r>
          </w:p>
        </w:tc>
        <w:tc>
          <w:tcPr>
            <w:tcW w:w="141" w:type="dxa"/>
            <w:tcBorders/>
            <w:shd w:fill="CCEEFF" w:val="clear"/>
            <w:vAlign w:val="center"/>
          </w:tcPr>
          <w:p>
            <w:pPr>
              <w:pStyle w:val="TableContents"/>
              <w:bidi w:val="0"/>
              <w:spacing w:before="0" w:after="283"/>
              <w:jc w:val="left"/>
              <w:rPr>
                <w:color w:val="231F20"/>
              </w:rPr>
            </w:pPr>
            <w:r>
              <w:rPr>
                <w:color w:val="231F20"/>
              </w:rPr>
              <w:t> </w:t>
            </w:r>
          </w:p>
        </w:tc>
        <w:tc>
          <w:tcPr>
            <w:tcW w:w="769" w:type="dxa"/>
            <w:tcBorders/>
            <w:shd w:fill="CCEEFF" w:val="clear"/>
            <w:vAlign w:val="center"/>
          </w:tcPr>
          <w:p>
            <w:pPr>
              <w:pStyle w:val="TableContents"/>
              <w:bidi w:val="0"/>
              <w:spacing w:before="0" w:after="283"/>
              <w:jc w:val="right"/>
              <w:rPr>
                <w:color w:val="231F20"/>
              </w:rPr>
            </w:pPr>
            <w:r>
              <w:rPr>
                <w:color w:val="231F20"/>
              </w:rPr>
              <w:t>(20,000</w:t>
            </w:r>
          </w:p>
        </w:tc>
        <w:tc>
          <w:tcPr>
            <w:tcW w:w="114" w:type="dxa"/>
            <w:tcBorders/>
            <w:shd w:fill="CCEEFF" w:val="clear"/>
            <w:vAlign w:val="center"/>
          </w:tcPr>
          <w:p>
            <w:pPr>
              <w:pStyle w:val="TableContents"/>
              <w:bidi w:val="0"/>
              <w:spacing w:before="0" w:after="283"/>
              <w:ind w:left="0" w:right="0" w:hanging="144"/>
              <w:jc w:val="left"/>
              <w:rPr>
                <w:color w:val="231F20"/>
              </w:rPr>
            </w:pPr>
            <w:r>
              <w:rPr>
                <w:color w:val="231F20"/>
              </w:rPr>
              <w:t>)</w:t>
            </w:r>
          </w:p>
        </w:tc>
      </w:tr>
      <w:tr>
        <w:trPr/>
        <w:tc>
          <w:tcPr>
            <w:tcW w:w="8056" w:type="dxa"/>
            <w:tcBorders/>
            <w:shd w:fill="FFFFFF" w:val="clear"/>
            <w:vAlign w:val="center"/>
          </w:tcPr>
          <w:p>
            <w:pPr>
              <w:pStyle w:val="TableContents"/>
              <w:bidi w:val="0"/>
              <w:spacing w:before="0" w:after="283"/>
              <w:jc w:val="left"/>
              <w:rPr>
                <w:color w:val="231F20"/>
                <w:sz w:val="20"/>
              </w:rPr>
            </w:pPr>
            <w:r>
              <w:rPr>
                <w:color w:val="231F20"/>
                <w:sz w:val="20"/>
              </w:rPr>
              <w:t>Principal payments on financing leases</w:t>
            </w:r>
          </w:p>
        </w:tc>
        <w:tc>
          <w:tcPr>
            <w:tcW w:w="60" w:type="dxa"/>
            <w:tcBorders/>
            <w:shd w:fill="FFFFFF" w:val="clear"/>
            <w:vAlign w:val="center"/>
          </w:tcPr>
          <w:p>
            <w:pPr>
              <w:pStyle w:val="TableContents"/>
              <w:bidi w:val="0"/>
              <w:spacing w:before="0" w:after="283"/>
              <w:jc w:val="left"/>
              <w:rPr>
                <w:color w:val="231F20"/>
              </w:rPr>
            </w:pPr>
            <w:r>
              <w:rPr>
                <w:color w:val="231F20"/>
              </w:rPr>
              <w:t> </w:t>
            </w:r>
          </w:p>
        </w:tc>
        <w:tc>
          <w:tcPr>
            <w:tcW w:w="141" w:type="dxa"/>
            <w:tcBorders/>
            <w:shd w:fill="FFFFFF" w:val="clear"/>
            <w:vAlign w:val="center"/>
          </w:tcPr>
          <w:p>
            <w:pPr>
              <w:pStyle w:val="TableContents"/>
              <w:bidi w:val="0"/>
              <w:spacing w:before="0" w:after="283"/>
              <w:jc w:val="left"/>
              <w:rPr>
                <w:color w:val="231F20"/>
              </w:rPr>
            </w:pPr>
            <w:r>
              <w:rPr>
                <w:color w:val="231F20"/>
              </w:rPr>
              <w:t> </w:t>
            </w:r>
          </w:p>
        </w:tc>
        <w:tc>
          <w:tcPr>
            <w:tcW w:w="769" w:type="dxa"/>
            <w:tcBorders/>
            <w:shd w:fill="FFFFFF" w:val="clear"/>
            <w:vAlign w:val="center"/>
          </w:tcPr>
          <w:p>
            <w:pPr>
              <w:pStyle w:val="TableContents"/>
              <w:bidi w:val="0"/>
              <w:spacing w:before="0" w:after="283"/>
              <w:jc w:val="right"/>
              <w:rPr>
                <w:color w:val="231F20"/>
              </w:rPr>
            </w:pPr>
            <w:r>
              <w:rPr>
                <w:color w:val="231F20"/>
              </w:rPr>
              <w:t>(17</w:t>
            </w:r>
          </w:p>
        </w:tc>
        <w:tc>
          <w:tcPr>
            <w:tcW w:w="95" w:type="dxa"/>
            <w:tcBorders/>
            <w:shd w:fill="FFFFFF" w:val="clear"/>
            <w:vAlign w:val="center"/>
          </w:tcPr>
          <w:p>
            <w:pPr>
              <w:pStyle w:val="TableContents"/>
              <w:bidi w:val="0"/>
              <w:spacing w:before="0" w:after="283"/>
              <w:jc w:val="left"/>
              <w:rPr>
                <w:color w:val="231F20"/>
              </w:rPr>
            </w:pPr>
            <w:r>
              <w:rPr>
                <w:color w:val="231F20"/>
              </w:rPr>
              <w:t>)</w:t>
            </w:r>
          </w:p>
        </w:tc>
        <w:tc>
          <w:tcPr>
            <w:tcW w:w="60" w:type="dxa"/>
            <w:tcBorders/>
            <w:shd w:fill="FFFFFF" w:val="clear"/>
            <w:vAlign w:val="center"/>
          </w:tcPr>
          <w:p>
            <w:pPr>
              <w:pStyle w:val="TableContents"/>
              <w:bidi w:val="0"/>
              <w:spacing w:before="0" w:after="283"/>
              <w:jc w:val="left"/>
              <w:rPr>
                <w:color w:val="231F20"/>
              </w:rPr>
            </w:pPr>
            <w:r>
              <w:rPr>
                <w:color w:val="231F20"/>
              </w:rPr>
              <w:t> </w:t>
            </w:r>
          </w:p>
        </w:tc>
        <w:tc>
          <w:tcPr>
            <w:tcW w:w="141" w:type="dxa"/>
            <w:tcBorders/>
            <w:shd w:fill="FFFFFF" w:val="clear"/>
            <w:vAlign w:val="center"/>
          </w:tcPr>
          <w:p>
            <w:pPr>
              <w:pStyle w:val="TableContents"/>
              <w:bidi w:val="0"/>
              <w:spacing w:before="0" w:after="283"/>
              <w:jc w:val="left"/>
              <w:rPr>
                <w:color w:val="231F20"/>
              </w:rPr>
            </w:pPr>
            <w:r>
              <w:rPr>
                <w:color w:val="231F20"/>
              </w:rPr>
              <w:t> </w:t>
            </w:r>
          </w:p>
        </w:tc>
        <w:tc>
          <w:tcPr>
            <w:tcW w:w="769" w:type="dxa"/>
            <w:tcBorders/>
            <w:shd w:fill="FFFFFF" w:val="clear"/>
            <w:vAlign w:val="center"/>
          </w:tcPr>
          <w:p>
            <w:pPr>
              <w:pStyle w:val="TableContents"/>
              <w:bidi w:val="0"/>
              <w:spacing w:before="0" w:after="283"/>
              <w:jc w:val="right"/>
              <w:rPr>
                <w:color w:val="231F20"/>
              </w:rPr>
            </w:pPr>
            <w:r>
              <w:rPr>
                <w:color w:val="231F20"/>
              </w:rPr>
              <w:t>(20</w:t>
            </w:r>
          </w:p>
        </w:tc>
        <w:tc>
          <w:tcPr>
            <w:tcW w:w="114" w:type="dxa"/>
            <w:tcBorders/>
            <w:shd w:fill="FFFFFF" w:val="clear"/>
            <w:vAlign w:val="center"/>
          </w:tcPr>
          <w:p>
            <w:pPr>
              <w:pStyle w:val="TableContents"/>
              <w:bidi w:val="0"/>
              <w:spacing w:before="0" w:after="283"/>
              <w:ind w:left="0" w:right="0" w:hanging="144"/>
              <w:jc w:val="left"/>
              <w:rPr>
                <w:color w:val="231F20"/>
              </w:rPr>
            </w:pPr>
            <w:r>
              <w:rPr>
                <w:color w:val="231F20"/>
              </w:rPr>
              <w:t>)</w:t>
            </w:r>
          </w:p>
        </w:tc>
      </w:tr>
      <w:tr>
        <w:trPr/>
        <w:tc>
          <w:tcPr>
            <w:tcW w:w="8056" w:type="dxa"/>
            <w:tcBorders/>
            <w:shd w:fill="CCEEFF" w:val="clear"/>
            <w:vAlign w:val="center"/>
          </w:tcPr>
          <w:p>
            <w:pPr>
              <w:pStyle w:val="TableContents"/>
              <w:bidi w:val="0"/>
              <w:spacing w:before="0" w:after="283"/>
              <w:jc w:val="left"/>
              <w:rPr>
                <w:color w:val="231F20"/>
                <w:sz w:val="20"/>
              </w:rPr>
            </w:pPr>
            <w:r>
              <w:rPr>
                <w:color w:val="231F20"/>
                <w:sz w:val="20"/>
              </w:rPr>
              <w:t>Common stock issued for options exercised</w:t>
            </w:r>
          </w:p>
        </w:tc>
        <w:tc>
          <w:tcPr>
            <w:tcW w:w="60" w:type="dxa"/>
            <w:tcBorders/>
            <w:shd w:fill="CCEEFF" w:val="clear"/>
            <w:vAlign w:val="center"/>
          </w:tcPr>
          <w:p>
            <w:pPr>
              <w:pStyle w:val="TableContents"/>
              <w:bidi w:val="0"/>
              <w:spacing w:before="0" w:after="283"/>
              <w:jc w:val="left"/>
              <w:rPr>
                <w:color w:val="231F20"/>
              </w:rPr>
            </w:pPr>
            <w:r>
              <w:rPr>
                <w:color w:val="231F20"/>
              </w:rPr>
              <w:t> </w:t>
            </w:r>
          </w:p>
        </w:tc>
        <w:tc>
          <w:tcPr>
            <w:tcW w:w="141" w:type="dxa"/>
            <w:tcBorders>
              <w:bottom w:val="single" w:sz="8" w:space="0" w:color="000000"/>
            </w:tcBorders>
            <w:shd w:fill="CCEEFF" w:val="clear"/>
            <w:tcMar>
              <w:bottom w:w="28" w:type="dxa"/>
            </w:tcMar>
            <w:vAlign w:val="center"/>
          </w:tcPr>
          <w:p>
            <w:pPr>
              <w:pStyle w:val="TableContents"/>
              <w:bidi w:val="0"/>
              <w:spacing w:before="0" w:after="283"/>
              <w:jc w:val="left"/>
              <w:rPr>
                <w:color w:val="231F20"/>
              </w:rPr>
            </w:pPr>
            <w:r>
              <w:rPr>
                <w:color w:val="231F20"/>
              </w:rPr>
              <w:t> </w:t>
            </w:r>
          </w:p>
        </w:tc>
        <w:tc>
          <w:tcPr>
            <w:tcW w:w="769" w:type="dxa"/>
            <w:tcBorders>
              <w:bottom w:val="single" w:sz="8" w:space="0" w:color="000000"/>
            </w:tcBorders>
            <w:shd w:fill="CCEEFF" w:val="clear"/>
            <w:tcMar>
              <w:bottom w:w="28" w:type="dxa"/>
            </w:tcMar>
            <w:vAlign w:val="center"/>
          </w:tcPr>
          <w:p>
            <w:pPr>
              <w:pStyle w:val="TableContents"/>
              <w:bidi w:val="0"/>
              <w:spacing w:before="0" w:after="283"/>
              <w:jc w:val="right"/>
              <w:rPr>
                <w:color w:val="231F20"/>
              </w:rPr>
            </w:pPr>
            <w:r>
              <w:rPr>
                <w:color w:val="231F20"/>
              </w:rPr>
              <w:t>111</w:t>
            </w:r>
          </w:p>
        </w:tc>
        <w:tc>
          <w:tcPr>
            <w:tcW w:w="95" w:type="dxa"/>
            <w:tcBorders/>
            <w:shd w:fill="CCEEFF" w:val="clear"/>
            <w:vAlign w:val="center"/>
          </w:tcPr>
          <w:p>
            <w:pPr>
              <w:pStyle w:val="TableContents"/>
              <w:bidi w:val="0"/>
              <w:spacing w:before="0" w:after="283"/>
              <w:jc w:val="left"/>
              <w:rPr>
                <w:color w:val="231F20"/>
              </w:rPr>
            </w:pPr>
            <w:r>
              <w:rPr>
                <w:color w:val="231F20"/>
              </w:rPr>
              <w:t> </w:t>
            </w:r>
          </w:p>
        </w:tc>
        <w:tc>
          <w:tcPr>
            <w:tcW w:w="60" w:type="dxa"/>
            <w:tcBorders/>
            <w:shd w:fill="CCEEFF" w:val="clear"/>
            <w:vAlign w:val="center"/>
          </w:tcPr>
          <w:p>
            <w:pPr>
              <w:pStyle w:val="TableContents"/>
              <w:bidi w:val="0"/>
              <w:spacing w:before="0" w:after="283"/>
              <w:jc w:val="left"/>
              <w:rPr>
                <w:color w:val="231F20"/>
              </w:rPr>
            </w:pPr>
            <w:r>
              <w:rPr>
                <w:color w:val="231F20"/>
              </w:rPr>
              <w:t> </w:t>
            </w:r>
          </w:p>
        </w:tc>
        <w:tc>
          <w:tcPr>
            <w:tcW w:w="141" w:type="dxa"/>
            <w:tcBorders>
              <w:bottom w:val="single" w:sz="8" w:space="0" w:color="000000"/>
            </w:tcBorders>
            <w:shd w:fill="CCEEFF" w:val="clear"/>
            <w:tcMar>
              <w:bottom w:w="28" w:type="dxa"/>
            </w:tcMar>
            <w:vAlign w:val="center"/>
          </w:tcPr>
          <w:p>
            <w:pPr>
              <w:pStyle w:val="TableContents"/>
              <w:bidi w:val="0"/>
              <w:spacing w:before="0" w:after="283"/>
              <w:jc w:val="left"/>
              <w:rPr>
                <w:color w:val="231F20"/>
              </w:rPr>
            </w:pPr>
            <w:r>
              <w:rPr>
                <w:color w:val="231F20"/>
              </w:rPr>
              <w:t> </w:t>
            </w:r>
          </w:p>
        </w:tc>
        <w:tc>
          <w:tcPr>
            <w:tcW w:w="769" w:type="dxa"/>
            <w:tcBorders>
              <w:bottom w:val="single" w:sz="8" w:space="0" w:color="000000"/>
            </w:tcBorders>
            <w:shd w:fill="CCEEFF" w:val="clear"/>
            <w:tcMar>
              <w:bottom w:w="28" w:type="dxa"/>
            </w:tcMar>
            <w:vAlign w:val="center"/>
          </w:tcPr>
          <w:p>
            <w:pPr>
              <w:pStyle w:val="TableContents"/>
              <w:bidi w:val="0"/>
              <w:spacing w:before="0" w:after="283"/>
              <w:jc w:val="right"/>
              <w:rPr>
                <w:color w:val="231F20"/>
              </w:rPr>
            </w:pPr>
            <w:r>
              <w:rPr>
                <w:color w:val="231F20"/>
              </w:rPr>
              <w:t>2,340</w:t>
            </w:r>
          </w:p>
        </w:tc>
        <w:tc>
          <w:tcPr>
            <w:tcW w:w="114" w:type="dxa"/>
            <w:tcBorders/>
            <w:shd w:fill="CCEEFF" w:val="clear"/>
            <w:vAlign w:val="center"/>
          </w:tcPr>
          <w:p>
            <w:pPr>
              <w:pStyle w:val="TableContents"/>
              <w:bidi w:val="0"/>
              <w:spacing w:before="0" w:after="283"/>
              <w:jc w:val="left"/>
              <w:rPr>
                <w:color w:val="231F20"/>
              </w:rPr>
            </w:pPr>
            <w:r>
              <w:rPr>
                <w:color w:val="231F20"/>
              </w:rPr>
              <w:t> </w:t>
            </w:r>
          </w:p>
        </w:tc>
      </w:tr>
      <w:tr>
        <w:trPr/>
        <w:tc>
          <w:tcPr>
            <w:tcW w:w="8056" w:type="dxa"/>
            <w:tcBorders/>
            <w:shd w:fill="FFFFFF" w:val="clear"/>
            <w:vAlign w:val="center"/>
          </w:tcPr>
          <w:p>
            <w:pPr>
              <w:pStyle w:val="TableContents"/>
              <w:bidi w:val="0"/>
              <w:spacing w:before="0" w:after="283"/>
              <w:jc w:val="left"/>
              <w:rPr>
                <w:b/>
                <w:color w:val="231F20"/>
                <w:sz w:val="20"/>
              </w:rPr>
            </w:pPr>
            <w:r>
              <w:rPr>
                <w:b/>
                <w:color w:val="231F20"/>
                <w:sz w:val="20"/>
              </w:rPr>
              <w:t>Net cash and cash equivalents provided by (used in) financing activities</w:t>
            </w:r>
          </w:p>
        </w:tc>
        <w:tc>
          <w:tcPr>
            <w:tcW w:w="60" w:type="dxa"/>
            <w:tcBorders/>
            <w:shd w:fill="FFFFFF" w:val="clear"/>
            <w:vAlign w:val="center"/>
          </w:tcPr>
          <w:p>
            <w:pPr>
              <w:pStyle w:val="TableContents"/>
              <w:bidi w:val="0"/>
              <w:spacing w:before="0" w:after="283"/>
              <w:jc w:val="left"/>
              <w:rPr>
                <w:color w:val="231F20"/>
              </w:rPr>
            </w:pPr>
            <w:r>
              <w:rPr>
                <w:color w:val="231F20"/>
              </w:rPr>
              <w:t> </w:t>
            </w:r>
          </w:p>
        </w:tc>
        <w:tc>
          <w:tcPr>
            <w:tcW w:w="141" w:type="dxa"/>
            <w:tcBorders>
              <w:bottom w:val="single" w:sz="8" w:space="0" w:color="000000"/>
            </w:tcBorders>
            <w:shd w:fill="FFFFFF" w:val="clear"/>
            <w:tcMar>
              <w:bottom w:w="28" w:type="dxa"/>
            </w:tcMar>
            <w:vAlign w:val="center"/>
          </w:tcPr>
          <w:p>
            <w:pPr>
              <w:pStyle w:val="TableContents"/>
              <w:bidi w:val="0"/>
              <w:spacing w:before="0" w:after="283"/>
              <w:jc w:val="left"/>
              <w:rPr>
                <w:color w:val="231F20"/>
              </w:rPr>
            </w:pPr>
            <w:r>
              <w:rPr>
                <w:color w:val="231F20"/>
              </w:rPr>
              <w:t> </w:t>
            </w:r>
          </w:p>
        </w:tc>
        <w:tc>
          <w:tcPr>
            <w:tcW w:w="769" w:type="dxa"/>
            <w:tcBorders>
              <w:bottom w:val="single" w:sz="8" w:space="0" w:color="000000"/>
            </w:tcBorders>
            <w:shd w:fill="FFFFFF" w:val="clear"/>
            <w:tcMar>
              <w:bottom w:w="28" w:type="dxa"/>
            </w:tcMar>
            <w:vAlign w:val="center"/>
          </w:tcPr>
          <w:p>
            <w:pPr>
              <w:pStyle w:val="TableContents"/>
              <w:bidi w:val="0"/>
              <w:spacing w:before="0" w:after="283"/>
              <w:jc w:val="right"/>
              <w:rPr>
                <w:color w:val="231F20"/>
              </w:rPr>
            </w:pPr>
            <w:r>
              <w:rPr>
                <w:color w:val="231F20"/>
              </w:rPr>
              <w:t>(246</w:t>
            </w:r>
          </w:p>
        </w:tc>
        <w:tc>
          <w:tcPr>
            <w:tcW w:w="95" w:type="dxa"/>
            <w:tcBorders/>
            <w:shd w:fill="FFFFFF" w:val="clear"/>
            <w:vAlign w:val="center"/>
          </w:tcPr>
          <w:p>
            <w:pPr>
              <w:pStyle w:val="TableContents"/>
              <w:bidi w:val="0"/>
              <w:spacing w:before="0" w:after="283"/>
              <w:jc w:val="left"/>
              <w:rPr>
                <w:color w:val="231F20"/>
              </w:rPr>
            </w:pPr>
            <w:r>
              <w:rPr>
                <w:color w:val="231F20"/>
              </w:rPr>
              <w:t>)</w:t>
            </w:r>
          </w:p>
        </w:tc>
        <w:tc>
          <w:tcPr>
            <w:tcW w:w="60" w:type="dxa"/>
            <w:tcBorders/>
            <w:shd w:fill="FFFFFF" w:val="clear"/>
            <w:vAlign w:val="center"/>
          </w:tcPr>
          <w:p>
            <w:pPr>
              <w:pStyle w:val="TableContents"/>
              <w:bidi w:val="0"/>
              <w:spacing w:before="0" w:after="283"/>
              <w:jc w:val="left"/>
              <w:rPr>
                <w:color w:val="231F20"/>
              </w:rPr>
            </w:pPr>
            <w:r>
              <w:rPr>
                <w:color w:val="231F20"/>
              </w:rPr>
              <w:t> </w:t>
            </w:r>
          </w:p>
        </w:tc>
        <w:tc>
          <w:tcPr>
            <w:tcW w:w="141" w:type="dxa"/>
            <w:tcBorders>
              <w:bottom w:val="single" w:sz="8" w:space="0" w:color="000000"/>
            </w:tcBorders>
            <w:shd w:fill="FFFFFF" w:val="clear"/>
            <w:tcMar>
              <w:bottom w:w="28" w:type="dxa"/>
            </w:tcMar>
            <w:vAlign w:val="center"/>
          </w:tcPr>
          <w:p>
            <w:pPr>
              <w:pStyle w:val="TableContents"/>
              <w:bidi w:val="0"/>
              <w:spacing w:before="0" w:after="283"/>
              <w:jc w:val="left"/>
              <w:rPr>
                <w:color w:val="231F20"/>
              </w:rPr>
            </w:pPr>
            <w:r>
              <w:rPr>
                <w:color w:val="231F20"/>
              </w:rPr>
              <w:t> </w:t>
            </w:r>
          </w:p>
        </w:tc>
        <w:tc>
          <w:tcPr>
            <w:tcW w:w="769" w:type="dxa"/>
            <w:tcBorders>
              <w:bottom w:val="single" w:sz="8" w:space="0" w:color="000000"/>
            </w:tcBorders>
            <w:shd w:fill="FFFFFF" w:val="clear"/>
            <w:tcMar>
              <w:bottom w:w="28" w:type="dxa"/>
            </w:tcMar>
            <w:vAlign w:val="center"/>
          </w:tcPr>
          <w:p>
            <w:pPr>
              <w:pStyle w:val="TableContents"/>
              <w:bidi w:val="0"/>
              <w:spacing w:before="0" w:after="283"/>
              <w:jc w:val="right"/>
              <w:rPr>
                <w:color w:val="231F20"/>
              </w:rPr>
            </w:pPr>
            <w:r>
              <w:rPr>
                <w:color w:val="231F20"/>
              </w:rPr>
              <w:t>(2,777</w:t>
            </w:r>
          </w:p>
        </w:tc>
        <w:tc>
          <w:tcPr>
            <w:tcW w:w="114" w:type="dxa"/>
            <w:tcBorders/>
            <w:shd w:fill="FFFFFF" w:val="clear"/>
            <w:vAlign w:val="center"/>
          </w:tcPr>
          <w:p>
            <w:pPr>
              <w:pStyle w:val="TableContents"/>
              <w:bidi w:val="0"/>
              <w:spacing w:before="0" w:after="283"/>
              <w:jc w:val="left"/>
              <w:rPr>
                <w:color w:val="231F20"/>
              </w:rPr>
            </w:pPr>
            <w:r>
              <w:rPr>
                <w:color w:val="231F20"/>
              </w:rPr>
              <w:t>)</w:t>
            </w:r>
          </w:p>
        </w:tc>
      </w:tr>
      <w:tr>
        <w:trPr/>
        <w:tc>
          <w:tcPr>
            <w:tcW w:w="8056" w:type="dxa"/>
            <w:tcBorders/>
            <w:shd w:fill="CCEEFF" w:val="clear"/>
            <w:vAlign w:val="center"/>
          </w:tcPr>
          <w:p>
            <w:pPr>
              <w:pStyle w:val="TableContents"/>
              <w:bidi w:val="0"/>
              <w:spacing w:before="0" w:after="283"/>
              <w:jc w:val="left"/>
              <w:rPr>
                <w:color w:val="231F20"/>
                <w:sz w:val="20"/>
              </w:rPr>
            </w:pPr>
            <w:r>
              <w:rPr>
                <w:color w:val="231F20"/>
                <w:sz w:val="20"/>
              </w:rPr>
              <w:t>Net increase (decrease) in cash and cash equivalents</w:t>
            </w:r>
          </w:p>
        </w:tc>
        <w:tc>
          <w:tcPr>
            <w:tcW w:w="60" w:type="dxa"/>
            <w:tcBorders/>
            <w:shd w:fill="CCEEFF" w:val="clear"/>
            <w:vAlign w:val="center"/>
          </w:tcPr>
          <w:p>
            <w:pPr>
              <w:pStyle w:val="TableContents"/>
              <w:bidi w:val="0"/>
              <w:spacing w:before="0" w:after="283"/>
              <w:jc w:val="left"/>
              <w:rPr>
                <w:color w:val="231F20"/>
              </w:rPr>
            </w:pPr>
            <w:r>
              <w:rPr>
                <w:color w:val="231F20"/>
              </w:rPr>
              <w:t> </w:t>
            </w:r>
          </w:p>
        </w:tc>
        <w:tc>
          <w:tcPr>
            <w:tcW w:w="141" w:type="dxa"/>
            <w:tcBorders/>
            <w:shd w:fill="CCEEFF" w:val="clear"/>
            <w:vAlign w:val="center"/>
          </w:tcPr>
          <w:p>
            <w:pPr>
              <w:pStyle w:val="TableContents"/>
              <w:bidi w:val="0"/>
              <w:spacing w:before="0" w:after="283"/>
              <w:jc w:val="left"/>
              <w:rPr>
                <w:color w:val="231F20"/>
              </w:rPr>
            </w:pPr>
            <w:r>
              <w:rPr>
                <w:color w:val="231F20"/>
              </w:rPr>
              <w:t> </w:t>
            </w:r>
          </w:p>
        </w:tc>
        <w:tc>
          <w:tcPr>
            <w:tcW w:w="769" w:type="dxa"/>
            <w:tcBorders/>
            <w:shd w:fill="CCEEFF" w:val="clear"/>
            <w:vAlign w:val="center"/>
          </w:tcPr>
          <w:p>
            <w:pPr>
              <w:pStyle w:val="TableContents"/>
              <w:bidi w:val="0"/>
              <w:spacing w:before="0" w:after="283"/>
              <w:jc w:val="right"/>
              <w:rPr>
                <w:color w:val="231F20"/>
              </w:rPr>
            </w:pPr>
            <w:r>
              <w:rPr>
                <w:color w:val="231F20"/>
              </w:rPr>
              <w:t>7,529</w:t>
            </w:r>
          </w:p>
        </w:tc>
        <w:tc>
          <w:tcPr>
            <w:tcW w:w="95" w:type="dxa"/>
            <w:tcBorders/>
            <w:shd w:fill="CCEEFF" w:val="clear"/>
            <w:vAlign w:val="center"/>
          </w:tcPr>
          <w:p>
            <w:pPr>
              <w:pStyle w:val="TableContents"/>
              <w:bidi w:val="0"/>
              <w:spacing w:before="0" w:after="283"/>
              <w:jc w:val="left"/>
              <w:rPr>
                <w:color w:val="231F20"/>
              </w:rPr>
            </w:pPr>
            <w:r>
              <w:rPr>
                <w:color w:val="231F20"/>
              </w:rPr>
              <w:t> </w:t>
            </w:r>
          </w:p>
        </w:tc>
        <w:tc>
          <w:tcPr>
            <w:tcW w:w="60" w:type="dxa"/>
            <w:tcBorders/>
            <w:shd w:fill="CCEEFF" w:val="clear"/>
            <w:vAlign w:val="center"/>
          </w:tcPr>
          <w:p>
            <w:pPr>
              <w:pStyle w:val="TableContents"/>
              <w:bidi w:val="0"/>
              <w:spacing w:before="0" w:after="283"/>
              <w:jc w:val="left"/>
              <w:rPr>
                <w:color w:val="231F20"/>
              </w:rPr>
            </w:pPr>
            <w:r>
              <w:rPr>
                <w:color w:val="231F20"/>
              </w:rPr>
              <w:t> </w:t>
            </w:r>
          </w:p>
        </w:tc>
        <w:tc>
          <w:tcPr>
            <w:tcW w:w="141" w:type="dxa"/>
            <w:tcBorders/>
            <w:shd w:fill="CCEEFF" w:val="clear"/>
            <w:vAlign w:val="center"/>
          </w:tcPr>
          <w:p>
            <w:pPr>
              <w:pStyle w:val="TableContents"/>
              <w:bidi w:val="0"/>
              <w:spacing w:before="0" w:after="283"/>
              <w:jc w:val="left"/>
              <w:rPr>
                <w:color w:val="231F20"/>
              </w:rPr>
            </w:pPr>
            <w:r>
              <w:rPr>
                <w:color w:val="231F20"/>
              </w:rPr>
              <w:t> </w:t>
            </w:r>
          </w:p>
        </w:tc>
        <w:tc>
          <w:tcPr>
            <w:tcW w:w="769" w:type="dxa"/>
            <w:tcBorders/>
            <w:shd w:fill="CCEEFF" w:val="clear"/>
            <w:vAlign w:val="center"/>
          </w:tcPr>
          <w:p>
            <w:pPr>
              <w:pStyle w:val="TableContents"/>
              <w:bidi w:val="0"/>
              <w:spacing w:before="0" w:after="283"/>
              <w:jc w:val="right"/>
              <w:rPr>
                <w:color w:val="231F20"/>
              </w:rPr>
            </w:pPr>
            <w:r>
              <w:rPr>
                <w:color w:val="231F20"/>
              </w:rPr>
              <w:t>(19,377</w:t>
            </w:r>
          </w:p>
        </w:tc>
        <w:tc>
          <w:tcPr>
            <w:tcW w:w="114" w:type="dxa"/>
            <w:tcBorders/>
            <w:shd w:fill="CCEEFF" w:val="clear"/>
            <w:vAlign w:val="center"/>
          </w:tcPr>
          <w:p>
            <w:pPr>
              <w:pStyle w:val="TableContents"/>
              <w:bidi w:val="0"/>
              <w:spacing w:before="0" w:after="283"/>
              <w:jc w:val="left"/>
              <w:rPr>
                <w:color w:val="231F20"/>
              </w:rPr>
            </w:pPr>
            <w:r>
              <w:rPr>
                <w:color w:val="231F20"/>
              </w:rPr>
              <w:t>)</w:t>
            </w:r>
          </w:p>
        </w:tc>
      </w:tr>
      <w:tr>
        <w:trPr/>
        <w:tc>
          <w:tcPr>
            <w:tcW w:w="8056" w:type="dxa"/>
            <w:tcBorders/>
            <w:shd w:fill="FFFFFF" w:val="clear"/>
            <w:vAlign w:val="center"/>
          </w:tcPr>
          <w:p>
            <w:pPr>
              <w:pStyle w:val="TableContents"/>
              <w:bidi w:val="0"/>
              <w:spacing w:before="0" w:after="283"/>
              <w:jc w:val="left"/>
              <w:rPr>
                <w:b/>
                <w:color w:val="231F20"/>
                <w:sz w:val="20"/>
              </w:rPr>
            </w:pPr>
            <w:r>
              <w:rPr>
                <w:b/>
                <w:color w:val="231F20"/>
                <w:sz w:val="20"/>
              </w:rPr>
              <w:t>Cash and cash equivalents at beginning of period</w:t>
            </w:r>
          </w:p>
        </w:tc>
        <w:tc>
          <w:tcPr>
            <w:tcW w:w="60" w:type="dxa"/>
            <w:tcBorders/>
            <w:shd w:fill="FFFFFF" w:val="clear"/>
            <w:vAlign w:val="center"/>
          </w:tcPr>
          <w:p>
            <w:pPr>
              <w:pStyle w:val="TableContents"/>
              <w:bidi w:val="0"/>
              <w:spacing w:before="0" w:after="283"/>
              <w:jc w:val="left"/>
              <w:rPr>
                <w:color w:val="231F20"/>
              </w:rPr>
            </w:pPr>
            <w:r>
              <w:rPr>
                <w:color w:val="231F20"/>
              </w:rPr>
              <w:t> </w:t>
            </w:r>
          </w:p>
        </w:tc>
        <w:tc>
          <w:tcPr>
            <w:tcW w:w="141" w:type="dxa"/>
            <w:tcBorders>
              <w:bottom w:val="single" w:sz="8" w:space="0" w:color="000000"/>
            </w:tcBorders>
            <w:shd w:fill="FFFFFF" w:val="clear"/>
            <w:tcMar>
              <w:bottom w:w="28" w:type="dxa"/>
            </w:tcMar>
            <w:vAlign w:val="center"/>
          </w:tcPr>
          <w:p>
            <w:pPr>
              <w:pStyle w:val="TableContents"/>
              <w:bidi w:val="0"/>
              <w:spacing w:before="0" w:after="283"/>
              <w:jc w:val="left"/>
              <w:rPr>
                <w:color w:val="231F20"/>
              </w:rPr>
            </w:pPr>
            <w:r>
              <w:rPr>
                <w:color w:val="231F20"/>
              </w:rPr>
              <w:t> </w:t>
            </w:r>
          </w:p>
        </w:tc>
        <w:tc>
          <w:tcPr>
            <w:tcW w:w="769" w:type="dxa"/>
            <w:tcBorders>
              <w:bottom w:val="single" w:sz="8" w:space="0" w:color="000000"/>
            </w:tcBorders>
            <w:shd w:fill="FFFFFF" w:val="clear"/>
            <w:tcMar>
              <w:bottom w:w="28" w:type="dxa"/>
            </w:tcMar>
            <w:vAlign w:val="center"/>
          </w:tcPr>
          <w:p>
            <w:pPr>
              <w:pStyle w:val="TableContents"/>
              <w:bidi w:val="0"/>
              <w:spacing w:before="0" w:after="283"/>
              <w:jc w:val="right"/>
              <w:rPr>
                <w:color w:val="231F20"/>
              </w:rPr>
            </w:pPr>
            <w:r>
              <w:rPr>
                <w:color w:val="231F20"/>
              </w:rPr>
              <w:t>33,565</w:t>
            </w:r>
          </w:p>
        </w:tc>
        <w:tc>
          <w:tcPr>
            <w:tcW w:w="95" w:type="dxa"/>
            <w:tcBorders/>
            <w:shd w:fill="FFFFFF" w:val="clear"/>
            <w:vAlign w:val="center"/>
          </w:tcPr>
          <w:p>
            <w:pPr>
              <w:pStyle w:val="TableContents"/>
              <w:bidi w:val="0"/>
              <w:spacing w:before="0" w:after="283"/>
              <w:jc w:val="left"/>
              <w:rPr>
                <w:color w:val="231F20"/>
              </w:rPr>
            </w:pPr>
            <w:r>
              <w:rPr>
                <w:color w:val="231F20"/>
              </w:rPr>
              <w:t> </w:t>
            </w:r>
          </w:p>
        </w:tc>
        <w:tc>
          <w:tcPr>
            <w:tcW w:w="60" w:type="dxa"/>
            <w:tcBorders/>
            <w:shd w:fill="FFFFFF" w:val="clear"/>
            <w:vAlign w:val="center"/>
          </w:tcPr>
          <w:p>
            <w:pPr>
              <w:pStyle w:val="TableContents"/>
              <w:bidi w:val="0"/>
              <w:spacing w:before="0" w:after="283"/>
              <w:jc w:val="left"/>
              <w:rPr>
                <w:color w:val="231F20"/>
              </w:rPr>
            </w:pPr>
            <w:r>
              <w:rPr>
                <w:color w:val="231F20"/>
              </w:rPr>
              <w:t> </w:t>
            </w:r>
          </w:p>
        </w:tc>
        <w:tc>
          <w:tcPr>
            <w:tcW w:w="141" w:type="dxa"/>
            <w:tcBorders>
              <w:bottom w:val="single" w:sz="8" w:space="0" w:color="000000"/>
            </w:tcBorders>
            <w:shd w:fill="FFFFFF" w:val="clear"/>
            <w:tcMar>
              <w:bottom w:w="28" w:type="dxa"/>
            </w:tcMar>
            <w:vAlign w:val="center"/>
          </w:tcPr>
          <w:p>
            <w:pPr>
              <w:pStyle w:val="TableContents"/>
              <w:bidi w:val="0"/>
              <w:spacing w:before="0" w:after="283"/>
              <w:jc w:val="left"/>
              <w:rPr>
                <w:color w:val="231F20"/>
              </w:rPr>
            </w:pPr>
            <w:r>
              <w:rPr>
                <w:color w:val="231F20"/>
              </w:rPr>
              <w:t> </w:t>
            </w:r>
          </w:p>
        </w:tc>
        <w:tc>
          <w:tcPr>
            <w:tcW w:w="769" w:type="dxa"/>
            <w:tcBorders>
              <w:bottom w:val="single" w:sz="8" w:space="0" w:color="000000"/>
            </w:tcBorders>
            <w:shd w:fill="FFFFFF" w:val="clear"/>
            <w:tcMar>
              <w:bottom w:w="28" w:type="dxa"/>
            </w:tcMar>
            <w:vAlign w:val="center"/>
          </w:tcPr>
          <w:p>
            <w:pPr>
              <w:pStyle w:val="TableContents"/>
              <w:bidi w:val="0"/>
              <w:spacing w:before="0" w:after="283"/>
              <w:jc w:val="right"/>
              <w:rPr>
                <w:color w:val="231F20"/>
              </w:rPr>
            </w:pPr>
            <w:r>
              <w:rPr>
                <w:color w:val="231F20"/>
              </w:rPr>
              <w:t>49,669</w:t>
            </w:r>
          </w:p>
        </w:tc>
        <w:tc>
          <w:tcPr>
            <w:tcW w:w="114" w:type="dxa"/>
            <w:tcBorders/>
            <w:shd w:fill="FFFFFF" w:val="clear"/>
            <w:vAlign w:val="center"/>
          </w:tcPr>
          <w:p>
            <w:pPr>
              <w:pStyle w:val="TableContents"/>
              <w:bidi w:val="0"/>
              <w:spacing w:before="0" w:after="283"/>
              <w:jc w:val="left"/>
              <w:rPr>
                <w:color w:val="231F20"/>
              </w:rPr>
            </w:pPr>
            <w:r>
              <w:rPr>
                <w:color w:val="231F20"/>
              </w:rPr>
              <w:t> </w:t>
            </w:r>
          </w:p>
        </w:tc>
      </w:tr>
      <w:tr>
        <w:trPr/>
        <w:tc>
          <w:tcPr>
            <w:tcW w:w="8056" w:type="dxa"/>
            <w:tcBorders/>
            <w:shd w:fill="CCEEFF" w:val="clear"/>
            <w:vAlign w:val="center"/>
          </w:tcPr>
          <w:p>
            <w:pPr>
              <w:pStyle w:val="TableContents"/>
              <w:bidi w:val="0"/>
              <w:spacing w:before="0" w:after="283"/>
              <w:jc w:val="left"/>
              <w:rPr>
                <w:b/>
                <w:color w:val="231F20"/>
                <w:sz w:val="20"/>
              </w:rPr>
            </w:pPr>
            <w:r>
              <w:rPr>
                <w:b/>
                <w:color w:val="231F20"/>
                <w:sz w:val="20"/>
              </w:rPr>
              <w:t>Cash and cash equivalents at end of period</w:t>
            </w:r>
          </w:p>
        </w:tc>
        <w:tc>
          <w:tcPr>
            <w:tcW w:w="60" w:type="dxa"/>
            <w:tcBorders/>
            <w:shd w:fill="CCEEFF" w:val="clear"/>
            <w:vAlign w:val="center"/>
          </w:tcPr>
          <w:p>
            <w:pPr>
              <w:pStyle w:val="TableContents"/>
              <w:bidi w:val="0"/>
              <w:spacing w:before="0" w:after="283"/>
              <w:jc w:val="left"/>
              <w:rPr>
                <w:color w:val="231F20"/>
              </w:rPr>
            </w:pPr>
            <w:r>
              <w:rPr>
                <w:color w:val="231F20"/>
              </w:rPr>
              <w:t> </w:t>
            </w:r>
          </w:p>
        </w:tc>
        <w:tc>
          <w:tcPr>
            <w:tcW w:w="141" w:type="dxa"/>
            <w:tcBorders>
              <w:bottom w:val="double" w:sz="6" w:space="0" w:color="000000"/>
            </w:tcBorders>
            <w:shd w:fill="CCEEFF" w:val="clear"/>
            <w:tcMar>
              <w:bottom w:w="28" w:type="dxa"/>
            </w:tcMar>
            <w:vAlign w:val="center"/>
          </w:tcPr>
          <w:p>
            <w:pPr>
              <w:pStyle w:val="TableContents"/>
              <w:bidi w:val="0"/>
              <w:spacing w:before="0" w:after="283"/>
              <w:jc w:val="left"/>
              <w:rPr>
                <w:color w:val="231F20"/>
              </w:rPr>
            </w:pPr>
            <w:r>
              <w:rPr>
                <w:color w:val="231F20"/>
              </w:rPr>
              <w:t>$</w:t>
            </w:r>
          </w:p>
        </w:tc>
        <w:tc>
          <w:tcPr>
            <w:tcW w:w="769" w:type="dxa"/>
            <w:tcBorders>
              <w:bottom w:val="double" w:sz="6" w:space="0" w:color="000000"/>
            </w:tcBorders>
            <w:shd w:fill="CCEEFF" w:val="clear"/>
            <w:tcMar>
              <w:bottom w:w="28" w:type="dxa"/>
            </w:tcMar>
            <w:vAlign w:val="center"/>
          </w:tcPr>
          <w:p>
            <w:pPr>
              <w:pStyle w:val="TableContents"/>
              <w:bidi w:val="0"/>
              <w:spacing w:before="0" w:after="283"/>
              <w:jc w:val="right"/>
              <w:rPr>
                <w:color w:val="231F20"/>
              </w:rPr>
            </w:pPr>
            <w:r>
              <w:rPr>
                <w:color w:val="231F20"/>
              </w:rPr>
              <w:t>41,094</w:t>
            </w:r>
          </w:p>
        </w:tc>
        <w:tc>
          <w:tcPr>
            <w:tcW w:w="95" w:type="dxa"/>
            <w:tcBorders/>
            <w:shd w:fill="CCEEFF" w:val="clear"/>
            <w:vAlign w:val="center"/>
          </w:tcPr>
          <w:p>
            <w:pPr>
              <w:pStyle w:val="TableContents"/>
              <w:bidi w:val="0"/>
              <w:spacing w:before="0" w:after="283"/>
              <w:jc w:val="left"/>
              <w:rPr>
                <w:color w:val="231F20"/>
              </w:rPr>
            </w:pPr>
            <w:r>
              <w:rPr>
                <w:color w:val="231F20"/>
              </w:rPr>
              <w:t> </w:t>
            </w:r>
          </w:p>
        </w:tc>
        <w:tc>
          <w:tcPr>
            <w:tcW w:w="60" w:type="dxa"/>
            <w:tcBorders/>
            <w:shd w:fill="CCEEFF" w:val="clear"/>
            <w:vAlign w:val="center"/>
          </w:tcPr>
          <w:p>
            <w:pPr>
              <w:pStyle w:val="TableContents"/>
              <w:bidi w:val="0"/>
              <w:spacing w:before="0" w:after="283"/>
              <w:jc w:val="left"/>
              <w:rPr>
                <w:color w:val="231F20"/>
              </w:rPr>
            </w:pPr>
            <w:r>
              <w:rPr>
                <w:color w:val="231F20"/>
              </w:rPr>
              <w:t> </w:t>
            </w:r>
          </w:p>
        </w:tc>
        <w:tc>
          <w:tcPr>
            <w:tcW w:w="141" w:type="dxa"/>
            <w:tcBorders>
              <w:bottom w:val="double" w:sz="6" w:space="0" w:color="000000"/>
            </w:tcBorders>
            <w:shd w:fill="CCEEFF" w:val="clear"/>
            <w:tcMar>
              <w:bottom w:w="28" w:type="dxa"/>
            </w:tcMar>
            <w:vAlign w:val="center"/>
          </w:tcPr>
          <w:p>
            <w:pPr>
              <w:pStyle w:val="TableContents"/>
              <w:bidi w:val="0"/>
              <w:spacing w:before="0" w:after="283"/>
              <w:jc w:val="left"/>
              <w:rPr>
                <w:color w:val="231F20"/>
              </w:rPr>
            </w:pPr>
            <w:r>
              <w:rPr>
                <w:color w:val="231F20"/>
              </w:rPr>
              <w:t>$</w:t>
            </w:r>
          </w:p>
        </w:tc>
        <w:tc>
          <w:tcPr>
            <w:tcW w:w="769" w:type="dxa"/>
            <w:tcBorders>
              <w:bottom w:val="double" w:sz="6" w:space="0" w:color="000000"/>
            </w:tcBorders>
            <w:shd w:fill="CCEEFF" w:val="clear"/>
            <w:tcMar>
              <w:bottom w:w="28" w:type="dxa"/>
            </w:tcMar>
            <w:vAlign w:val="center"/>
          </w:tcPr>
          <w:p>
            <w:pPr>
              <w:pStyle w:val="TableContents"/>
              <w:bidi w:val="0"/>
              <w:spacing w:before="0" w:after="283"/>
              <w:jc w:val="right"/>
              <w:rPr>
                <w:color w:val="231F20"/>
              </w:rPr>
            </w:pPr>
            <w:r>
              <w:rPr>
                <w:color w:val="231F20"/>
              </w:rPr>
              <w:t>30,292</w:t>
            </w:r>
          </w:p>
        </w:tc>
        <w:tc>
          <w:tcPr>
            <w:tcW w:w="114" w:type="dxa"/>
            <w:tcBorders/>
            <w:shd w:fill="CCEEFF" w:val="clear"/>
            <w:vAlign w:val="center"/>
          </w:tcPr>
          <w:p>
            <w:pPr>
              <w:pStyle w:val="TableContents"/>
              <w:bidi w:val="0"/>
              <w:spacing w:before="0" w:after="283"/>
              <w:jc w:val="left"/>
              <w:rPr>
                <w:color w:val="231F20"/>
              </w:rPr>
            </w:pPr>
            <w:r>
              <w:rPr>
                <w:color w:val="231F20"/>
              </w:rPr>
              <w:t> </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Contacts</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Media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Oncology Institute, Inc.</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Daniel Virnich, MD</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danielvirnich@starlingoncology.com</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(562) 735-3226 x 81125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Investors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ICR Strategic Communications</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investors@icrinc.com</w:t>
      </w:r>
    </w:p>
    <w:p>
      <w:pPr>
        <w:pStyle w:val="TextBody"/>
        <w:bidi w:val="0"/>
        <w:spacing w:before="0" w:after="283"/>
        <w:jc w:val="left"/>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4064</Words>
  <Characters>22546</Characters>
  <CharactersWithSpaces>27104</CharactersWithSpaces>
  <Paragraphs>2237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